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8" w:lineRule="exact"/>
        <w:jc w:val="center"/>
        <w:outlineLvl w:val="0"/>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578" w:lineRule="exact"/>
        <w:jc w:val="center"/>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spacing w:line="1100" w:lineRule="exact"/>
        <w:jc w:val="center"/>
        <w:textAlignment w:val="auto"/>
        <w:outlineLvl w:val="0"/>
        <w:rPr>
          <w:rFonts w:ascii="方正小标宋简体" w:hAnsi="宋体" w:eastAsia="方正小标宋简体"/>
          <w:color w:val="000000"/>
          <w:sz w:val="72"/>
          <w:szCs w:val="72"/>
        </w:rPr>
      </w:pPr>
    </w:p>
    <w:p>
      <w:pPr>
        <w:keepNext w:val="0"/>
        <w:keepLines w:val="0"/>
        <w:pageBreakBefore w:val="0"/>
        <w:widowControl w:val="0"/>
        <w:kinsoku/>
        <w:wordWrap/>
        <w:overflowPunct/>
        <w:topLinePunct w:val="0"/>
        <w:autoSpaceDE/>
        <w:autoSpaceDN/>
        <w:bidi w:val="0"/>
        <w:spacing w:line="1100" w:lineRule="exact"/>
        <w:jc w:val="center"/>
        <w:textAlignment w:val="auto"/>
        <w:outlineLvl w:val="0"/>
        <w:rPr>
          <w:rFonts w:hint="eastAsia" w:ascii="黑体" w:hAnsi="黑体" w:eastAsia="黑体" w:cs="黑体"/>
          <w:color w:val="000000"/>
          <w:sz w:val="36"/>
          <w:szCs w:val="36"/>
        </w:rPr>
      </w:pPr>
    </w:p>
    <w:bookmarkEnd w:id="0"/>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黑体" w:hAnsi="黑体" w:eastAsia="黑体"/>
          <w:color w:val="000000"/>
          <w:sz w:val="72"/>
          <w:szCs w:val="72"/>
          <w:lang w:eastAsia="zh-CN"/>
        </w:rPr>
      </w:pPr>
      <w:bookmarkStart w:id="1" w:name="_Toc15377426"/>
      <w:bookmarkStart w:id="2" w:name="_Toc15396476"/>
      <w:bookmarkStart w:id="3" w:name="_Toc15377194"/>
      <w:bookmarkStart w:id="4" w:name="_Toc15306268"/>
      <w:bookmarkStart w:id="5" w:name="_Toc15378442"/>
      <w:bookmarkStart w:id="6" w:name="_Toc15396598"/>
      <w:r>
        <w:rPr>
          <w:rFonts w:hint="eastAsia" w:ascii="黑体" w:hAnsi="黑体" w:eastAsia="黑体"/>
          <w:color w:val="000000"/>
          <w:sz w:val="72"/>
          <w:szCs w:val="72"/>
          <w:lang w:eastAsia="zh-CN"/>
        </w:rPr>
        <w:t>泸县</w:t>
      </w:r>
      <w:bookmarkStart w:id="7" w:name="_Toc15396475"/>
      <w:bookmarkStart w:id="8" w:name="_Toc15378441"/>
      <w:bookmarkStart w:id="9" w:name="_Toc15377193"/>
      <w:bookmarkStart w:id="10" w:name="_Toc15377425"/>
      <w:bookmarkStart w:id="11" w:name="_Toc15396597"/>
      <w:r>
        <w:rPr>
          <w:rFonts w:hint="eastAsia" w:ascii="黑体" w:hAnsi="黑体" w:eastAsia="黑体"/>
          <w:color w:val="000000"/>
          <w:sz w:val="72"/>
          <w:szCs w:val="72"/>
          <w:lang w:eastAsia="zh-CN"/>
        </w:rPr>
        <w:t>人民法院</w:t>
      </w:r>
    </w:p>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黑体" w:hAnsi="黑体" w:eastAsia="黑体"/>
          <w:color w:val="000000"/>
          <w:sz w:val="72"/>
          <w:szCs w:val="72"/>
        </w:rPr>
      </w:pPr>
      <w:r>
        <w:rPr>
          <w:rFonts w:hint="eastAsia" w:ascii="黑体" w:hAnsi="黑体" w:eastAsia="黑体"/>
          <w:color w:val="000000"/>
          <w:sz w:val="72"/>
          <w:szCs w:val="72"/>
        </w:rPr>
        <w:t>2019年度</w:t>
      </w:r>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1100" w:lineRule="exact"/>
        <w:jc w:val="center"/>
        <w:textAlignment w:val="auto"/>
        <w:outlineLvl w:val="0"/>
        <w:rPr>
          <w:rFonts w:hint="eastAsia" w:ascii="黑体" w:hAnsi="黑体" w:eastAsia="黑体"/>
          <w:color w:val="000000"/>
          <w:sz w:val="72"/>
          <w:szCs w:val="72"/>
          <w:lang w:eastAsia="zh-CN"/>
        </w:rPr>
      </w:pPr>
      <w:r>
        <w:rPr>
          <w:rFonts w:hint="eastAsia" w:ascii="黑体" w:hAnsi="黑体" w:eastAsia="黑体"/>
          <w:color w:val="000000"/>
          <w:sz w:val="72"/>
          <w:szCs w:val="72"/>
        </w:rPr>
        <w:t>决算</w:t>
      </w:r>
      <w:bookmarkEnd w:id="1"/>
      <w:bookmarkEnd w:id="2"/>
      <w:bookmarkEnd w:id="3"/>
      <w:bookmarkEnd w:id="4"/>
      <w:bookmarkEnd w:id="5"/>
      <w:bookmarkEnd w:id="6"/>
      <w:r>
        <w:rPr>
          <w:rFonts w:hint="eastAsia" w:ascii="黑体" w:hAnsi="黑体" w:eastAsia="黑体"/>
          <w:color w:val="000000"/>
          <w:sz w:val="72"/>
          <w:szCs w:val="72"/>
          <w:lang w:eastAsia="zh-CN"/>
        </w:rPr>
        <w:t>公开编制说明</w:t>
      </w:r>
    </w:p>
    <w:p>
      <w:pPr>
        <w:pageBreakBefore w:val="0"/>
        <w:kinsoku/>
        <w:wordWrap/>
        <w:overflowPunct/>
        <w:topLinePunct w:val="0"/>
        <w:bidi w:val="0"/>
        <w:adjustRightInd w:val="0"/>
        <w:snapToGrid w:val="0"/>
        <w:spacing w:line="578" w:lineRule="exact"/>
        <w:jc w:val="center"/>
        <w:outlineLvl w:val="0"/>
        <w:rPr>
          <w:rFonts w:ascii="黑体" w:hAnsi="黑体" w:eastAsia="黑体"/>
          <w:color w:val="000000"/>
          <w:sz w:val="48"/>
          <w:szCs w:val="48"/>
        </w:rPr>
      </w:pPr>
      <w:r>
        <w:rPr>
          <w:rFonts w:ascii="黑体" w:hAnsi="黑体" w:eastAsia="黑体"/>
          <w:color w:val="000000"/>
          <w:sz w:val="72"/>
          <w:szCs w:val="72"/>
        </w:rPr>
        <w:br w:type="page"/>
      </w:r>
      <w:r>
        <w:rPr>
          <w:rFonts w:hint="eastAsia" w:ascii="黑体" w:hAnsi="黑体" w:eastAsia="黑体"/>
          <w:color w:val="000000"/>
          <w:sz w:val="48"/>
          <w:szCs w:val="48"/>
        </w:rPr>
        <w:t>目录</w:t>
      </w:r>
    </w:p>
    <w:p>
      <w:pPr>
        <w:pageBreakBefore w:val="0"/>
        <w:widowControl/>
        <w:kinsoku/>
        <w:wordWrap/>
        <w:overflowPunct/>
        <w:topLinePunct w:val="0"/>
        <w:bidi w:val="0"/>
        <w:spacing w:line="578" w:lineRule="exact"/>
        <w:jc w:val="center"/>
        <w:rPr>
          <w:rFonts w:ascii="黑体" w:hAnsi="黑体" w:eastAsia="黑体" w:cstheme="minorBidi"/>
          <w:sz w:val="28"/>
          <w:szCs w:val="28"/>
        </w:rPr>
      </w:pPr>
    </w:p>
    <w:p>
      <w:pPr>
        <w:pStyle w:val="10"/>
        <w:pageBreakBefore w:val="0"/>
        <w:kinsoku/>
        <w:wordWrap/>
        <w:overflowPunct/>
        <w:topLinePunct w:val="0"/>
        <w:bidi w:val="0"/>
        <w:spacing w:line="578" w:lineRule="exact"/>
      </w:pPr>
      <w:r>
        <w:rPr>
          <w:rFonts w:hint="eastAsia"/>
        </w:rPr>
        <w:t>公开时间：2020年</w:t>
      </w:r>
      <w:r>
        <w:rPr>
          <w:rFonts w:hint="eastAsia"/>
          <w:lang w:val="en-US" w:eastAsia="zh-CN"/>
        </w:rPr>
        <w:t>10</w:t>
      </w:r>
      <w:r>
        <w:rPr>
          <w:rFonts w:hint="eastAsia"/>
        </w:rPr>
        <w:t>月</w:t>
      </w:r>
      <w:r>
        <w:rPr>
          <w:rFonts w:hint="eastAsia"/>
          <w:lang w:val="en-US" w:eastAsia="zh-CN"/>
        </w:rPr>
        <w:t>30</w:t>
      </w:r>
      <w:r>
        <w:rPr>
          <w:rFonts w:hint="eastAsia"/>
        </w:rPr>
        <w:t>日</w:t>
      </w:r>
    </w:p>
    <w:p>
      <w:pPr>
        <w:pageBreakBefore w:val="0"/>
        <w:kinsoku/>
        <w:wordWrap/>
        <w:overflowPunct/>
        <w:topLinePunct w:val="0"/>
        <w:bidi w:val="0"/>
        <w:spacing w:line="578" w:lineRule="exact"/>
      </w:pPr>
    </w:p>
    <w:p>
      <w:pPr>
        <w:pStyle w:val="10"/>
        <w:pageBreakBefore w:val="0"/>
        <w:kinsoku/>
        <w:wordWrap/>
        <w:overflowPunct/>
        <w:topLinePunct w:val="0"/>
        <w:bidi w:val="0"/>
        <w:adjustRightInd w:val="0"/>
        <w:snapToGrid w:val="0"/>
        <w:spacing w:before="0"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第一部分 部门概况</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一、基本职能及主要工作……………………………………………4~8</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二、机构设置…………………………………………………………8~9</w:t>
      </w:r>
    </w:p>
    <w:p>
      <w:pPr>
        <w:pStyle w:val="10"/>
        <w:pageBreakBefore w:val="0"/>
        <w:kinsoku/>
        <w:wordWrap/>
        <w:overflowPunct/>
        <w:topLinePunct w:val="0"/>
        <w:bidi w:val="0"/>
        <w:adjustRightInd w:val="0"/>
        <w:snapToGrid w:val="0"/>
        <w:spacing w:before="0"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第二部分度部门决算情况说明</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一、收入支出决算总体情况说明………………………………………9</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二、收入决算情况说明…………………………………………………10</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三、支出决算情况说明…………………………………………………10</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四、财政拨款收入支出决算总体情况说明……………………………11</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五、一般公共预算财政拨款支出决算情况说明……………………11~14</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六、一般公共预算财政拨款基本支出决算情况说明………………14~15</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七、“三公”经费财政拨款支出决算情况说明……………………15~16</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八、政府性基金预算支出决算情况说明………………………………16</w:t>
      </w:r>
    </w:p>
    <w:p>
      <w:pPr>
        <w:pStyle w:val="11"/>
        <w:pageBreakBefore w:val="0"/>
        <w:kinsoku/>
        <w:wordWrap/>
        <w:overflowPunct/>
        <w:topLinePunct w:val="0"/>
        <w:bidi w:val="0"/>
        <w:adjustRightInd w:val="0"/>
        <w:snapToGrid w:val="0"/>
        <w:spacing w:line="578" w:lineRule="exact"/>
        <w:ind w:leftChars="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 国有资本经营预算支出决算情况说明……………………………16</w:t>
      </w:r>
    </w:p>
    <w:p>
      <w:pPr>
        <w:pageBreakBefore w:val="0"/>
        <w:kinsoku/>
        <w:wordWrap/>
        <w:overflowPunct/>
        <w:topLinePunct w:val="0"/>
        <w:bidi w:val="0"/>
        <w:adjustRightInd w:val="0"/>
        <w:snapToGrid w:val="0"/>
        <w:spacing w:line="578" w:lineRule="exact"/>
        <w:ind w:firstLine="480" w:firstLineChars="200"/>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十、其他重要事项的情况说明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……………………………………16~26</w:t>
      </w:r>
    </w:p>
    <w:p>
      <w:pPr>
        <w:pStyle w:val="10"/>
        <w:pageBreakBefore w:val="0"/>
        <w:kinsoku/>
        <w:wordWrap/>
        <w:overflowPunct/>
        <w:topLinePunct w:val="0"/>
        <w:bidi w:val="0"/>
        <w:adjustRightInd w:val="0"/>
        <w:snapToGrid w:val="0"/>
        <w:spacing w:before="0"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第三部分 名词解释………………………………………………………26~28</w:t>
      </w:r>
    </w:p>
    <w:p>
      <w:pPr>
        <w:pStyle w:val="10"/>
        <w:pageBreakBefore w:val="0"/>
        <w:kinsoku/>
        <w:wordWrap/>
        <w:overflowPunct/>
        <w:topLinePunct w:val="0"/>
        <w:bidi w:val="0"/>
        <w:adjustRightInd w:val="0"/>
        <w:snapToGrid w:val="0"/>
        <w:spacing w:before="0"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第四部分 附件</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附件1…………………………………………………………………29~32</w:t>
      </w:r>
    </w:p>
    <w:p>
      <w:pPr>
        <w:pStyle w:val="11"/>
        <w:pageBreakBefore w:val="0"/>
        <w:kinsoku/>
        <w:wordWrap/>
        <w:overflowPunct/>
        <w:topLinePunct w:val="0"/>
        <w:bidi w:val="0"/>
        <w:adjustRightInd w:val="0"/>
        <w:snapToGrid w:val="0"/>
        <w:spacing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附件2…………………………………………………………………33~39</w:t>
      </w:r>
    </w:p>
    <w:p>
      <w:pPr>
        <w:pStyle w:val="10"/>
        <w:pageBreakBefore w:val="0"/>
        <w:kinsoku/>
        <w:wordWrap/>
        <w:overflowPunct/>
        <w:topLinePunct w:val="0"/>
        <w:bidi w:val="0"/>
        <w:adjustRightInd w:val="0"/>
        <w:snapToGrid w:val="0"/>
        <w:spacing w:before="0" w:line="578" w:lineRule="exact"/>
        <w:jc w:val="left"/>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第五部分 附表………………………………………………………………40</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一、收入支出决算总表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二、收入决算表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三、支出决算表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四、财政拨款收入支出决算总表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五、财政拨款支出决算明细表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六、一般公共预算财政拨款支出决算表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七、一般公共预算财政拨款支出决算明细表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八、一般公共预算财政拨款基本支出决算表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九、一般公共预算财政拨款项目支出决算表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十、一般公共预算财政拨款“三公”经费支出决算表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十一、政府性基金预算财政拨款收入支出决算表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十二、政府性基金预算财政拨款“三公”经费支出决算表</w:t>
      </w:r>
    </w:p>
    <w:p>
      <w:pPr>
        <w:pStyle w:val="11"/>
        <w:pageBreakBefore w:val="0"/>
        <w:kinsoku/>
        <w:wordWrap/>
        <w:overflowPunct/>
        <w:topLinePunct w:val="0"/>
        <w:bidi w:val="0"/>
        <w:adjustRightInd w:val="0"/>
        <w:snapToGrid w:val="0"/>
        <w:spacing w:line="578" w:lineRule="exact"/>
        <w:jc w:val="left"/>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十三、国有资本经营预算支出决算表</w:t>
      </w:r>
    </w:p>
    <w:p>
      <w:pPr>
        <w:pageBreakBefore w:val="0"/>
        <w:widowControl/>
        <w:kinsoku/>
        <w:wordWrap/>
        <w:overflowPunct/>
        <w:topLinePunct w:val="0"/>
        <w:bidi w:val="0"/>
        <w:spacing w:line="578" w:lineRule="exact"/>
        <w:jc w:val="left"/>
        <w:rPr>
          <w:rFonts w:hint="eastAsia" w:ascii="Times New Roman" w:hAnsi="Times New Roman" w:eastAsia="宋体" w:cs="Times New Roman"/>
          <w:kern w:val="2"/>
          <w:sz w:val="24"/>
          <w:szCs w:val="24"/>
          <w:lang w:val="en-US" w:eastAsia="zh-CN" w:bidi="ar-SA"/>
        </w:rPr>
      </w:pPr>
      <w:bookmarkStart w:id="12" w:name="_Toc15377196"/>
      <w:bookmarkStart w:id="13" w:name="_Toc15396599"/>
      <w:r>
        <w:rPr>
          <w:rFonts w:hint="eastAsia" w:ascii="Times New Roman" w:hAnsi="Times New Roman" w:eastAsia="宋体" w:cs="Times New Roman"/>
          <w:kern w:val="2"/>
          <w:sz w:val="24"/>
          <w:szCs w:val="24"/>
          <w:lang w:val="en-US" w:eastAsia="zh-CN" w:bidi="ar-SA"/>
        </w:rPr>
        <w:br w:type="page"/>
      </w:r>
    </w:p>
    <w:p>
      <w:pPr>
        <w:pStyle w:val="3"/>
        <w:pageBreakBefore w:val="0"/>
        <w:kinsoku/>
        <w:wordWrap/>
        <w:overflowPunct/>
        <w:topLinePunct w:val="0"/>
        <w:bidi w:val="0"/>
        <w:spacing w:line="578" w:lineRule="exact"/>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ageBreakBefore w:val="0"/>
        <w:widowControl/>
        <w:kinsoku/>
        <w:wordWrap/>
        <w:overflowPunct/>
        <w:topLinePunct w:val="0"/>
        <w:bidi w:val="0"/>
        <w:spacing w:line="578" w:lineRule="exact"/>
        <w:jc w:val="left"/>
        <w:rPr>
          <w:rFonts w:ascii="黑体" w:eastAsia="黑体"/>
          <w:color w:val="000000"/>
          <w:sz w:val="32"/>
          <w:szCs w:val="32"/>
        </w:rPr>
      </w:pPr>
    </w:p>
    <w:p>
      <w:pPr>
        <w:pStyle w:val="4"/>
        <w:pageBreakBefore w:val="0"/>
        <w:kinsoku/>
        <w:wordWrap/>
        <w:overflowPunct/>
        <w:topLinePunct w:val="0"/>
        <w:bidi w:val="0"/>
        <w:spacing w:line="578" w:lineRule="exact"/>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keepNext w:val="0"/>
        <w:keepLines w:val="0"/>
        <w:pageBreakBefore w:val="0"/>
        <w:kinsoku/>
        <w:wordWrap/>
        <w:overflowPunct/>
        <w:topLinePunct w:val="0"/>
        <w:autoSpaceDE/>
        <w:autoSpaceDN/>
        <w:bidi w:val="0"/>
        <w:adjustRightInd/>
        <w:snapToGrid w:val="0"/>
        <w:spacing w:line="578" w:lineRule="exact"/>
        <w:ind w:firstLine="640" w:firstLineChars="200"/>
        <w:rPr>
          <w:rFonts w:hint="eastAsia" w:ascii="仿宋_GB2312" w:hAnsi="仿宋" w:eastAsia="仿宋_GB2312"/>
          <w:color w:val="auto"/>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pStyle w:val="6"/>
        <w:pageBreakBefore w:val="0"/>
        <w:kinsoku/>
        <w:wordWrap/>
        <w:overflowPunct/>
        <w:topLinePunct w:val="0"/>
        <w:bidi w:val="0"/>
        <w:adjustRightInd w:val="0"/>
        <w:snapToGrid w:val="0"/>
        <w:spacing w:before="93" w:line="578" w:lineRule="exact"/>
        <w:ind w:firstLine="640" w:firstLineChars="200"/>
        <w:outlineLvl w:val="2"/>
        <w:rPr>
          <w:rFonts w:hint="eastAsia" w:ascii="仿宋" w:hAnsi="仿宋" w:eastAsia="仿宋" w:cs="宋体"/>
          <w:bCs/>
          <w:color w:val="000000"/>
          <w:kern w:val="0"/>
          <w:sz w:val="32"/>
          <w:szCs w:val="32"/>
          <w:lang w:val="en-US" w:eastAsia="zh-CN" w:bidi="ar-SA"/>
        </w:rPr>
      </w:pPr>
      <w:bookmarkStart w:id="18" w:name="_Toc15377199"/>
      <w:bookmarkStart w:id="19" w:name="_Toc15378446"/>
      <w:r>
        <w:rPr>
          <w:rFonts w:hint="eastAsia" w:ascii="仿宋" w:hAnsi="仿宋" w:eastAsia="仿宋" w:cs="宋体"/>
          <w:bCs/>
          <w:color w:val="000000"/>
          <w:kern w:val="0"/>
          <w:sz w:val="32"/>
          <w:szCs w:val="32"/>
          <w:lang w:val="en-US" w:eastAsia="zh-CN" w:bidi="ar-SA"/>
        </w:rPr>
        <w:t>泸县人民法院是基层人民法院，作为国家的审判机关，根据《中华人民共和国宪法》和《中华人民共和国人民法院组织法》的规定，其承担的主要职能为：</w:t>
      </w:r>
    </w:p>
    <w:p>
      <w:pPr>
        <w:pStyle w:val="6"/>
        <w:pageBreakBefore w:val="0"/>
        <w:kinsoku/>
        <w:wordWrap/>
        <w:overflowPunct/>
        <w:topLinePunct w:val="0"/>
        <w:bidi w:val="0"/>
        <w:adjustRightInd w:val="0"/>
        <w:snapToGrid w:val="0"/>
        <w:spacing w:before="93" w:line="578" w:lineRule="exact"/>
        <w:outlineLvl w:val="2"/>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（1）审判案件；</w:t>
      </w:r>
    </w:p>
    <w:p>
      <w:pPr>
        <w:pStyle w:val="6"/>
        <w:pageBreakBefore w:val="0"/>
        <w:kinsoku/>
        <w:wordWrap/>
        <w:overflowPunct/>
        <w:topLinePunct w:val="0"/>
        <w:bidi w:val="0"/>
        <w:adjustRightInd w:val="0"/>
        <w:snapToGrid w:val="0"/>
        <w:spacing w:before="93" w:line="578" w:lineRule="exact"/>
        <w:outlineLvl w:val="2"/>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（2）处理不需要开庭审判的民事纠纷和轻微的刑事案件；</w:t>
      </w:r>
    </w:p>
    <w:p>
      <w:pPr>
        <w:pStyle w:val="6"/>
        <w:pageBreakBefore w:val="0"/>
        <w:kinsoku/>
        <w:wordWrap/>
        <w:overflowPunct/>
        <w:topLinePunct w:val="0"/>
        <w:bidi w:val="0"/>
        <w:adjustRightInd w:val="0"/>
        <w:snapToGrid w:val="0"/>
        <w:spacing w:before="93" w:line="578" w:lineRule="exact"/>
        <w:outlineLvl w:val="2"/>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（3）指导人民调解委员会的工作；</w:t>
      </w:r>
    </w:p>
    <w:p>
      <w:pPr>
        <w:pStyle w:val="6"/>
        <w:pageBreakBefore w:val="0"/>
        <w:kinsoku/>
        <w:wordWrap/>
        <w:overflowPunct/>
        <w:topLinePunct w:val="0"/>
        <w:bidi w:val="0"/>
        <w:adjustRightInd w:val="0"/>
        <w:snapToGrid w:val="0"/>
        <w:spacing w:before="93" w:line="578" w:lineRule="exact"/>
        <w:outlineLvl w:val="2"/>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（4）普法，即人民法院用它的全部活动教育公民忠于社会主义祖国，自觉地遵守宪法和法律。</w:t>
      </w:r>
    </w:p>
    <w:p>
      <w:pPr>
        <w:pStyle w:val="6"/>
        <w:pageBreakBefore w:val="0"/>
        <w:kinsoku/>
        <w:wordWrap/>
        <w:overflowPunct/>
        <w:topLinePunct w:val="0"/>
        <w:bidi w:val="0"/>
        <w:adjustRightInd w:val="0"/>
        <w:snapToGrid w:val="0"/>
        <w:spacing w:before="93" w:line="578"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6"/>
        <w:pageBreakBefore w:val="0"/>
        <w:kinsoku/>
        <w:wordWrap/>
        <w:overflowPunct/>
        <w:topLinePunct w:val="0"/>
        <w:bidi w:val="0"/>
        <w:adjustRightInd w:val="0"/>
        <w:snapToGrid w:val="0"/>
        <w:spacing w:before="93" w:line="578" w:lineRule="exact"/>
        <w:ind w:firstLine="640" w:firstLineChars="200"/>
        <w:outlineLvl w:val="2"/>
        <w:rPr>
          <w:rFonts w:hint="eastAsia" w:ascii="仿宋" w:hAnsi="仿宋" w:eastAsia="仿宋"/>
          <w:bCs/>
          <w:color w:val="000000"/>
          <w:sz w:val="32"/>
          <w:szCs w:val="32"/>
        </w:rPr>
      </w:pPr>
      <w:r>
        <w:rPr>
          <w:rFonts w:hint="eastAsia" w:ascii="仿宋" w:hAnsi="仿宋" w:eastAsia="仿宋"/>
          <w:bCs/>
          <w:color w:val="000000"/>
          <w:sz w:val="32"/>
          <w:szCs w:val="32"/>
        </w:rPr>
        <w:t>2019年我院严格财经纪律，厉行节约，压缩开支，保证了干警合理福利待遇的落实，稳定了干警队伍，提高了干警的工作积极性，坚持司法为民、公正司法工作主线，紧紧围绕“努力让人民群众在每一个司法案件中感受到公平正义”总体目标，扎实推动争创“全国模范法院”，全面提升法院工作水平，有力地保障了审判工作的顺利进行。</w:t>
      </w:r>
    </w:p>
    <w:p>
      <w:pPr>
        <w:pStyle w:val="12"/>
        <w:keepNext w:val="0"/>
        <w:keepLines w:val="0"/>
        <w:pageBreakBefore w:val="0"/>
        <w:numPr>
          <w:ilvl w:val="0"/>
          <w:numId w:val="1"/>
        </w:numPr>
        <w:shd w:val="clear" w:color="auto" w:fill="FFFFFF"/>
        <w:kinsoku/>
        <w:wordWrap/>
        <w:overflowPunct/>
        <w:topLinePunct w:val="0"/>
        <w:autoSpaceDE/>
        <w:autoSpaceDN/>
        <w:bidi w:val="0"/>
        <w:adjustRightInd/>
        <w:spacing w:before="0" w:beforeAutospacing="0" w:after="0" w:afterAutospacing="0" w:line="578" w:lineRule="exact"/>
        <w:ind w:firstLine="640" w:firstLineChars="200"/>
        <w:rPr>
          <w:rStyle w:val="26"/>
          <w:rFonts w:hint="eastAsia" w:ascii="黑体" w:hAnsi="黑体" w:eastAsia="黑体"/>
          <w:b w:val="0"/>
          <w:bCs w:val="0"/>
        </w:rPr>
      </w:pPr>
      <w:bookmarkStart w:id="20" w:name="_Toc15396601"/>
      <w:bookmarkStart w:id="21" w:name="_Toc15377200"/>
      <w:r>
        <w:rPr>
          <w:rStyle w:val="26"/>
          <w:rFonts w:hint="eastAsia" w:ascii="黑体" w:hAnsi="黑体" w:eastAsia="黑体"/>
          <w:b w:val="0"/>
          <w:bCs w:val="0"/>
        </w:rPr>
        <w:t>机构设置</w:t>
      </w:r>
      <w:bookmarkEnd w:id="20"/>
      <w:bookmarkEnd w:id="21"/>
    </w:p>
    <w:p>
      <w:pPr>
        <w:pStyle w:val="12"/>
        <w:keepNext w:val="0"/>
        <w:keepLines w:val="0"/>
        <w:pageBreakBefore w:val="0"/>
        <w:shd w:val="clear" w:color="auto" w:fill="FFFFFF"/>
        <w:kinsoku/>
        <w:wordWrap/>
        <w:overflowPunct/>
        <w:topLinePunct w:val="0"/>
        <w:autoSpaceDE/>
        <w:autoSpaceDN/>
        <w:bidi w:val="0"/>
        <w:adjustRightInd/>
        <w:spacing w:before="0" w:beforeAutospacing="0" w:after="0" w:afterAutospacing="0" w:line="578" w:lineRule="exact"/>
        <w:ind w:firstLine="640" w:firstLineChars="200"/>
        <w:rPr>
          <w:rFonts w:hint="eastAsia" w:ascii="黑体" w:hAnsi="黑体" w:eastAsia="黑体"/>
          <w:b w:val="0"/>
          <w:color w:val="000000"/>
        </w:rPr>
      </w:pPr>
      <w:bookmarkStart w:id="22" w:name="_Toc15377204"/>
      <w:bookmarkStart w:id="23" w:name="_Toc15396602"/>
      <w:r>
        <w:rPr>
          <w:rFonts w:hint="eastAsia" w:ascii="仿宋" w:hAnsi="仿宋" w:eastAsia="仿宋" w:cs="宋体"/>
          <w:bCs/>
          <w:color w:val="000000"/>
          <w:kern w:val="0"/>
          <w:sz w:val="32"/>
          <w:szCs w:val="32"/>
          <w:lang w:val="en-US" w:eastAsia="zh-CN" w:bidi="ar-SA"/>
        </w:rPr>
        <w:t>我院除机关外，为方便群众诉讼，另设有云龙、玄滩、牛滩、玄滩、太伏、云锦、潮河、加明等8个基层人民法庭。独立编制机构数1个，独立核算机构数1个，与2018年相比无变化。我院2019年年末实有人员181人，其中：正式干警116人，聘用人员58人，退休人员31人，遗属人员5人，与2018年相比增加29人。</w:t>
      </w:r>
    </w:p>
    <w:p>
      <w:pPr>
        <w:pStyle w:val="3"/>
        <w:pageBreakBefore w:val="0"/>
        <w:numPr>
          <w:ilvl w:val="0"/>
          <w:numId w:val="0"/>
        </w:numPr>
        <w:kinsoku/>
        <w:wordWrap/>
        <w:overflowPunct/>
        <w:topLinePunct w:val="0"/>
        <w:bidi w:val="0"/>
        <w:spacing w:line="578" w:lineRule="exact"/>
        <w:ind w:right="440" w:rightChars="0"/>
        <w:jc w:val="both"/>
        <w:rPr>
          <w:rStyle w:val="25"/>
          <w:rFonts w:hint="eastAsia" w:ascii="黑体" w:hAnsi="黑体" w:eastAsia="黑体"/>
          <w:b w:val="0"/>
          <w:bCs w:val="0"/>
          <w:lang w:eastAsia="zh-CN"/>
        </w:rPr>
      </w:pPr>
    </w:p>
    <w:p>
      <w:pPr>
        <w:pStyle w:val="3"/>
        <w:pageBreakBefore w:val="0"/>
        <w:numPr>
          <w:ilvl w:val="0"/>
          <w:numId w:val="0"/>
        </w:numPr>
        <w:kinsoku/>
        <w:wordWrap/>
        <w:overflowPunct/>
        <w:topLinePunct w:val="0"/>
        <w:bidi w:val="0"/>
        <w:spacing w:line="578" w:lineRule="exact"/>
        <w:ind w:right="440" w:rightChars="0"/>
        <w:jc w:val="both"/>
        <w:rPr>
          <w:rStyle w:val="25"/>
          <w:rFonts w:hint="eastAsia" w:ascii="黑体" w:hAnsi="黑体" w:eastAsia="黑体"/>
          <w:b w:val="0"/>
          <w:bCs w:val="0"/>
        </w:rPr>
      </w:pPr>
      <w:r>
        <w:rPr>
          <w:rStyle w:val="25"/>
          <w:rFonts w:hint="eastAsia" w:ascii="黑体" w:hAnsi="黑体" w:eastAsia="黑体"/>
          <w:b w:val="0"/>
          <w:bCs w:val="0"/>
          <w:lang w:eastAsia="zh-CN"/>
        </w:rPr>
        <w:t>第二部分</w:t>
      </w:r>
      <w:r>
        <w:rPr>
          <w:rStyle w:val="25"/>
          <w:rFonts w:hint="eastAsia" w:ascii="黑体" w:hAnsi="黑体" w:eastAsia="黑体"/>
          <w:b w:val="0"/>
          <w:bCs w:val="0"/>
          <w:lang w:val="en-US" w:eastAsia="zh-CN"/>
        </w:rPr>
        <w:t xml:space="preserve">  </w:t>
      </w:r>
      <w:r>
        <w:rPr>
          <w:rStyle w:val="25"/>
          <w:rFonts w:hint="eastAsia" w:ascii="黑体" w:hAnsi="黑体" w:eastAsia="黑体"/>
          <w:b w:val="0"/>
          <w:bCs w:val="0"/>
        </w:rPr>
        <w:t>2019年度部门决算情况说明</w:t>
      </w:r>
      <w:bookmarkEnd w:id="22"/>
      <w:bookmarkEnd w:id="23"/>
    </w:p>
    <w:p>
      <w:pPr>
        <w:numPr>
          <w:ilvl w:val="0"/>
          <w:numId w:val="0"/>
        </w:numPr>
      </w:pPr>
    </w:p>
    <w:p>
      <w:pPr>
        <w:pStyle w:val="24"/>
        <w:pageBreakBefore w:val="0"/>
        <w:numPr>
          <w:ilvl w:val="0"/>
          <w:numId w:val="2"/>
        </w:numPr>
        <w:kinsoku/>
        <w:wordWrap/>
        <w:overflowPunct/>
        <w:topLinePunct w:val="0"/>
        <w:bidi w:val="0"/>
        <w:spacing w:line="578"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年我院年初</w:t>
      </w:r>
      <w:r>
        <w:rPr>
          <w:rFonts w:hint="eastAsia" w:ascii="仿宋_GB2312" w:hAnsi="仿宋" w:eastAsia="仿宋_GB2312"/>
          <w:sz w:val="32"/>
          <w:szCs w:val="32"/>
          <w:lang w:eastAsia="zh-CN"/>
        </w:rPr>
        <w:t>决算</w:t>
      </w:r>
      <w:r>
        <w:rPr>
          <w:rFonts w:hint="eastAsia" w:ascii="仿宋_GB2312" w:hAnsi="仿宋" w:eastAsia="仿宋_GB2312"/>
          <w:sz w:val="32"/>
          <w:szCs w:val="32"/>
        </w:rPr>
        <w:t>收入</w:t>
      </w:r>
      <w:r>
        <w:rPr>
          <w:rFonts w:hint="eastAsia" w:ascii="仿宋_GB2312" w:hAnsi="仿宋" w:eastAsia="仿宋_GB2312"/>
          <w:sz w:val="32"/>
          <w:szCs w:val="32"/>
          <w:lang w:eastAsia="zh-CN"/>
        </w:rPr>
        <w:t>（含政府基金预算收入）</w:t>
      </w:r>
      <w:r>
        <w:rPr>
          <w:rFonts w:hint="eastAsia" w:ascii="仿宋_GB2312" w:hAnsi="仿宋" w:eastAsia="仿宋_GB2312"/>
          <w:sz w:val="32"/>
          <w:szCs w:val="32"/>
          <w:lang w:val="en-US" w:eastAsia="zh-CN"/>
        </w:rPr>
        <w:t>3867.32万</w:t>
      </w:r>
      <w:r>
        <w:rPr>
          <w:rFonts w:hint="eastAsia" w:ascii="仿宋_GB2312" w:hAnsi="仿宋" w:eastAsia="仿宋_GB2312"/>
          <w:sz w:val="32"/>
          <w:szCs w:val="32"/>
        </w:rPr>
        <w:t>元，对比201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年的</w:t>
      </w:r>
      <w:r>
        <w:rPr>
          <w:rFonts w:hint="eastAsia" w:ascii="仿宋_GB2312" w:hAnsi="仿宋" w:eastAsia="仿宋_GB2312"/>
          <w:sz w:val="32"/>
          <w:szCs w:val="32"/>
          <w:lang w:val="en-US" w:eastAsia="zh-CN"/>
        </w:rPr>
        <w:t>3758.60万</w:t>
      </w:r>
      <w:r>
        <w:rPr>
          <w:rFonts w:hint="eastAsia" w:ascii="仿宋_GB2312" w:hAnsi="仿宋" w:eastAsia="仿宋_GB2312"/>
          <w:sz w:val="32"/>
          <w:szCs w:val="32"/>
        </w:rPr>
        <w:t>元，</w:t>
      </w:r>
      <w:r>
        <w:rPr>
          <w:rFonts w:hint="eastAsia" w:ascii="仿宋_GB2312" w:hAnsi="仿宋" w:eastAsia="仿宋_GB2312"/>
          <w:sz w:val="32"/>
          <w:szCs w:val="32"/>
          <w:lang w:eastAsia="zh-CN"/>
        </w:rPr>
        <w:t>增加</w:t>
      </w:r>
      <w:r>
        <w:rPr>
          <w:rFonts w:hint="eastAsia" w:ascii="仿宋_GB2312" w:hAnsi="仿宋" w:eastAsia="仿宋_GB2312"/>
          <w:sz w:val="32"/>
          <w:szCs w:val="32"/>
        </w:rPr>
        <w:t>了</w:t>
      </w:r>
      <w:r>
        <w:rPr>
          <w:rFonts w:hint="eastAsia" w:ascii="仿宋_GB2312" w:hAnsi="仿宋" w:eastAsia="仿宋_GB2312"/>
          <w:sz w:val="32"/>
          <w:szCs w:val="32"/>
          <w:lang w:val="en-US" w:eastAsia="zh-CN"/>
        </w:rPr>
        <w:t>108.72万</w:t>
      </w:r>
      <w:r>
        <w:rPr>
          <w:rFonts w:hint="eastAsia" w:ascii="仿宋_GB2312" w:hAnsi="仿宋" w:eastAsia="仿宋_GB2312"/>
          <w:sz w:val="32"/>
          <w:szCs w:val="32"/>
        </w:rPr>
        <w:t>元，增幅为</w:t>
      </w:r>
      <w:r>
        <w:rPr>
          <w:rFonts w:hint="eastAsia" w:ascii="仿宋_GB2312" w:hAnsi="仿宋" w:eastAsia="仿宋_GB2312"/>
          <w:sz w:val="32"/>
          <w:szCs w:val="32"/>
          <w:lang w:val="en-US" w:eastAsia="zh-CN"/>
        </w:rPr>
        <w:t>2.89</w:t>
      </w:r>
      <w:r>
        <w:rPr>
          <w:rFonts w:hint="eastAsia" w:ascii="仿宋_GB2312" w:hAnsi="仿宋" w:eastAsia="仿宋_GB2312"/>
          <w:sz w:val="32"/>
          <w:szCs w:val="32"/>
        </w:rPr>
        <w:t>%，原因是201</w:t>
      </w:r>
      <w:r>
        <w:rPr>
          <w:rFonts w:hint="eastAsia" w:ascii="仿宋_GB2312" w:hAnsi="仿宋" w:eastAsia="仿宋_GB2312"/>
          <w:sz w:val="32"/>
          <w:szCs w:val="32"/>
          <w:lang w:val="en-US" w:eastAsia="zh-CN"/>
        </w:rPr>
        <w:t>9年工资福利支出增加</w:t>
      </w:r>
      <w:r>
        <w:rPr>
          <w:rFonts w:hint="eastAsia" w:ascii="仿宋_GB2312" w:hAnsi="仿宋" w:eastAsia="仿宋_GB2312"/>
          <w:sz w:val="32"/>
          <w:szCs w:val="32"/>
        </w:rPr>
        <w:t>；年</w:t>
      </w:r>
      <w:r>
        <w:rPr>
          <w:rFonts w:hint="eastAsia" w:ascii="仿宋_GB2312" w:hAnsi="仿宋" w:eastAsia="仿宋_GB2312"/>
          <w:sz w:val="32"/>
          <w:szCs w:val="32"/>
          <w:lang w:eastAsia="zh-CN"/>
        </w:rPr>
        <w:t>末财政拨款</w:t>
      </w:r>
      <w:r>
        <w:rPr>
          <w:rFonts w:hint="eastAsia" w:ascii="仿宋_GB2312" w:hAnsi="仿宋" w:eastAsia="仿宋_GB2312"/>
          <w:sz w:val="32"/>
          <w:szCs w:val="32"/>
        </w:rPr>
        <w:t>结转和结余</w:t>
      </w:r>
      <w:r>
        <w:rPr>
          <w:rFonts w:hint="eastAsia" w:ascii="仿宋_GB2312" w:hAnsi="仿宋" w:eastAsia="仿宋_GB2312"/>
          <w:sz w:val="32"/>
          <w:szCs w:val="32"/>
          <w:lang w:val="en-US" w:eastAsia="zh-CN"/>
        </w:rPr>
        <w:t>277.71万</w:t>
      </w:r>
      <w:r>
        <w:rPr>
          <w:rFonts w:hint="eastAsia" w:ascii="仿宋_GB2312" w:hAnsi="仿宋" w:eastAsia="仿宋_GB2312"/>
          <w:sz w:val="32"/>
          <w:szCs w:val="32"/>
        </w:rPr>
        <w:t>元。2019年我院支出3784</w:t>
      </w:r>
      <w:r>
        <w:rPr>
          <w:rFonts w:hint="eastAsia" w:ascii="仿宋_GB2312" w:hAnsi="仿宋" w:eastAsia="仿宋_GB2312"/>
          <w:sz w:val="32"/>
          <w:szCs w:val="32"/>
          <w:lang w:val="en-US" w:eastAsia="zh-CN"/>
        </w:rPr>
        <w:t>.38万</w:t>
      </w:r>
      <w:r>
        <w:rPr>
          <w:rFonts w:hint="eastAsia" w:ascii="仿宋_GB2312" w:hAnsi="仿宋" w:eastAsia="仿宋_GB2312"/>
          <w:sz w:val="32"/>
          <w:szCs w:val="32"/>
        </w:rPr>
        <w:t>元，对比2018年4315</w:t>
      </w:r>
      <w:r>
        <w:rPr>
          <w:rFonts w:hint="eastAsia" w:ascii="仿宋_GB2312" w:hAnsi="仿宋" w:eastAsia="仿宋_GB2312"/>
          <w:sz w:val="32"/>
          <w:szCs w:val="32"/>
          <w:lang w:val="en-US" w:eastAsia="zh-CN"/>
        </w:rPr>
        <w:t>.25万</w:t>
      </w:r>
      <w:r>
        <w:rPr>
          <w:rFonts w:hint="eastAsia" w:ascii="仿宋_GB2312" w:hAnsi="仿宋" w:eastAsia="仿宋_GB2312"/>
          <w:sz w:val="32"/>
          <w:szCs w:val="32"/>
        </w:rPr>
        <w:t>元，减少了530</w:t>
      </w:r>
      <w:r>
        <w:rPr>
          <w:rFonts w:hint="eastAsia" w:ascii="仿宋_GB2312" w:hAnsi="仿宋" w:eastAsia="仿宋_GB2312"/>
          <w:sz w:val="32"/>
          <w:szCs w:val="32"/>
          <w:lang w:val="en-US" w:eastAsia="zh-CN"/>
        </w:rPr>
        <w:t>.93万</w:t>
      </w:r>
      <w:r>
        <w:rPr>
          <w:rFonts w:hint="eastAsia" w:ascii="仿宋_GB2312" w:hAnsi="仿宋" w:eastAsia="仿宋_GB2312"/>
          <w:sz w:val="32"/>
          <w:szCs w:val="32"/>
        </w:rPr>
        <w:t>元，减幅12.3%，减少原因为基建项目支出减少。</w:t>
      </w:r>
    </w:p>
    <w:p>
      <w:pPr>
        <w:pageBreakBefore w:val="0"/>
        <w:kinsoku/>
        <w:wordWrap/>
        <w:overflowPunct/>
        <w:topLinePunct w:val="0"/>
        <w:bidi w:val="0"/>
        <w:spacing w:line="578" w:lineRule="exact"/>
        <w:ind w:firstLine="640" w:firstLineChars="200"/>
        <w:jc w:val="left"/>
        <w:rPr>
          <w:rFonts w:ascii="仿宋_GB2312" w:eastAsia="仿宋_GB2312"/>
          <w:color w:val="000000"/>
          <w:sz w:val="32"/>
          <w:szCs w:val="32"/>
        </w:rPr>
      </w:pPr>
      <w:r>
        <w:rPr>
          <w:rFonts w:hint="eastAsia" w:ascii="仿宋" w:hAnsi="仿宋" w:eastAsia="仿宋"/>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144145</wp:posOffset>
            </wp:positionH>
            <wp:positionV relativeFrom="paragraph">
              <wp:posOffset>164465</wp:posOffset>
            </wp:positionV>
            <wp:extent cx="4708525" cy="2362200"/>
            <wp:effectExtent l="4445" t="4445" r="11430"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bookmarkStart w:id="26" w:name="_Toc15377206"/>
      <w:bookmarkStart w:id="27" w:name="_Toc15396604"/>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r>
        <w:rPr>
          <w:rFonts w:hint="eastAsia" w:ascii="仿宋" w:hAnsi="仿宋" w:eastAsia="仿宋"/>
          <w:color w:val="000000" w:themeColor="text1"/>
          <w:sz w:val="32"/>
          <w:szCs w:val="32"/>
          <w:lang w:eastAsia="zh-CN"/>
        </w:rPr>
        <w:t>（单位：万元）</w:t>
      </w:r>
    </w:p>
    <w:p>
      <w:pPr>
        <w:pStyle w:val="24"/>
        <w:pageBreakBefore w:val="0"/>
        <w:numPr>
          <w:ilvl w:val="0"/>
          <w:numId w:val="0"/>
        </w:numPr>
        <w:kinsoku/>
        <w:wordWrap/>
        <w:overflowPunct/>
        <w:topLinePunct w:val="0"/>
        <w:bidi w:val="0"/>
        <w:spacing w:line="578" w:lineRule="exact"/>
        <w:outlineLvl w:val="1"/>
        <w:rPr>
          <w:rStyle w:val="26"/>
          <w:rFonts w:ascii="黑体" w:hAnsi="黑体" w:eastAsia="黑体"/>
          <w:b w:val="0"/>
        </w:rPr>
      </w:pPr>
    </w:p>
    <w:p>
      <w:pPr>
        <w:pStyle w:val="24"/>
        <w:pageBreakBefore w:val="0"/>
        <w:numPr>
          <w:ilvl w:val="0"/>
          <w:numId w:val="2"/>
        </w:numPr>
        <w:kinsoku/>
        <w:wordWrap/>
        <w:overflowPunct/>
        <w:topLinePunct w:val="0"/>
        <w:bidi w:val="0"/>
        <w:spacing w:line="578"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pageBreakBefore w:val="0"/>
        <w:kinsoku/>
        <w:wordWrap/>
        <w:overflowPunct/>
        <w:topLinePunct w:val="0"/>
        <w:bidi w:val="0"/>
        <w:spacing w:line="578"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_GB2312" w:hAnsi="仿宋" w:eastAsia="仿宋_GB2312"/>
          <w:sz w:val="32"/>
          <w:szCs w:val="32"/>
          <w:lang w:val="en-US" w:eastAsia="zh-CN"/>
        </w:rPr>
        <w:t>3,867.32</w:t>
      </w:r>
      <w:r>
        <w:rPr>
          <w:rFonts w:hint="eastAsia" w:ascii="仿宋" w:hAnsi="仿宋" w:eastAsia="仿宋"/>
          <w:color w:val="000000"/>
          <w:sz w:val="32"/>
          <w:szCs w:val="32"/>
        </w:rPr>
        <w:t>万元，其中：一般公共预算财政拨款收入</w:t>
      </w:r>
      <w:r>
        <w:rPr>
          <w:rFonts w:hint="eastAsia" w:ascii="仿宋_GB2312" w:hAnsi="仿宋" w:eastAsia="仿宋_GB2312"/>
          <w:sz w:val="32"/>
          <w:szCs w:val="32"/>
          <w:lang w:val="en-US" w:eastAsia="zh-CN"/>
        </w:rPr>
        <w:t>3656.15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94.54</w:t>
      </w:r>
      <w:r>
        <w:rPr>
          <w:rFonts w:ascii="仿宋" w:hAnsi="仿宋" w:eastAsia="仿宋"/>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578" w:lineRule="exact"/>
        <w:outlineLvl w:val="1"/>
        <w:rPr>
          <w:rStyle w:val="26"/>
          <w:rFonts w:ascii="黑体" w:hAnsi="黑体" w:eastAsia="黑体"/>
          <w:b w:val="0"/>
        </w:rPr>
      </w:pPr>
      <w:r>
        <w:rPr>
          <w:rFonts w:hint="eastAsia" w:ascii="仿宋" w:hAnsi="仿宋" w:eastAsia="仿宋"/>
          <w:color w:val="000000" w:themeColor="text1"/>
          <w:sz w:val="32"/>
          <w:szCs w:val="32"/>
          <w:lang w:val="en-US" w:eastAsia="zh-CN"/>
        </w:rPr>
        <w:t xml:space="preserve">   </w:t>
      </w:r>
      <w:bookmarkStart w:id="28" w:name="_Toc15377207"/>
      <w:bookmarkStart w:id="29" w:name="_Toc15396605"/>
    </w:p>
    <w:p>
      <w:pPr>
        <w:pStyle w:val="24"/>
        <w:pageBreakBefore w:val="0"/>
        <w:numPr>
          <w:ilvl w:val="0"/>
          <w:numId w:val="2"/>
        </w:numPr>
        <w:kinsoku/>
        <w:wordWrap/>
        <w:overflowPunct/>
        <w:topLinePunct w:val="0"/>
        <w:bidi w:val="0"/>
        <w:spacing w:line="578" w:lineRule="exact"/>
        <w:ind w:firstLineChars="0"/>
        <w:outlineLvl w:val="1"/>
        <w:rPr>
          <w:rStyle w:val="26"/>
          <w:rFonts w:ascii="黑体" w:hAnsi="黑体" w:eastAsia="黑体"/>
          <w:b w:val="0"/>
        </w:rPr>
      </w:pPr>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pageBreakBefore w:val="0"/>
        <w:kinsoku/>
        <w:wordWrap/>
        <w:overflowPunct/>
        <w:topLinePunct w:val="0"/>
        <w:bidi w:val="0"/>
        <w:spacing w:line="578"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hAnsi="仿宋" w:eastAsia="仿宋_GB2312"/>
          <w:sz w:val="32"/>
          <w:szCs w:val="32"/>
        </w:rPr>
        <w:t>3784</w:t>
      </w:r>
      <w:r>
        <w:rPr>
          <w:rFonts w:hint="eastAsia" w:ascii="仿宋_GB2312" w:hAnsi="仿宋" w:eastAsia="仿宋_GB2312"/>
          <w:sz w:val="32"/>
          <w:szCs w:val="32"/>
          <w:lang w:val="en-US" w:eastAsia="zh-CN"/>
        </w:rPr>
        <w:t>.38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2468.71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65.23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1315.67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34.77</w:t>
      </w:r>
      <w:r>
        <w:rPr>
          <w:rFonts w:ascii="仿宋" w:hAnsi="仿宋" w:eastAsia="仿宋"/>
          <w:color w:val="000000"/>
          <w:sz w:val="32"/>
          <w:szCs w:val="32"/>
        </w:rPr>
        <w:t>%</w:t>
      </w:r>
      <w:r>
        <w:rPr>
          <w:rFonts w:hint="eastAsia" w:ascii="仿宋" w:hAnsi="仿宋" w:eastAsia="仿宋"/>
          <w:color w:val="000000"/>
          <w:sz w:val="32"/>
          <w:szCs w:val="32"/>
          <w:lang w:eastAsia="zh-CN"/>
        </w:rPr>
        <w:t>。</w:t>
      </w:r>
    </w:p>
    <w:p>
      <w:pPr>
        <w:pageBreakBefore w:val="0"/>
        <w:kinsoku/>
        <w:wordWrap/>
        <w:overflowPunct/>
        <w:topLinePunct w:val="0"/>
        <w:bidi w:val="0"/>
        <w:spacing w:line="578" w:lineRule="exact"/>
        <w:rPr>
          <w:rFonts w:ascii="仿宋_GB2312" w:eastAsia="仿宋_GB2312"/>
          <w:color w:val="FF0000"/>
          <w:sz w:val="32"/>
          <w:szCs w:val="32"/>
        </w:rPr>
      </w:pPr>
    </w:p>
    <w:p>
      <w:pPr>
        <w:pageBreakBefore w:val="0"/>
        <w:kinsoku/>
        <w:wordWrap/>
        <w:overflowPunct/>
        <w:topLinePunct w:val="0"/>
        <w:bidi w:val="0"/>
        <w:spacing w:line="578"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sz w:val="32"/>
          <w:szCs w:val="32"/>
        </w:rPr>
        <w:t>2019年</w:t>
      </w:r>
      <w:r>
        <w:rPr>
          <w:rFonts w:hint="eastAsia" w:ascii="仿宋" w:hAnsi="仿宋" w:eastAsia="仿宋"/>
          <w:color w:val="000000"/>
          <w:sz w:val="32"/>
          <w:szCs w:val="32"/>
          <w:lang w:eastAsia="zh-CN"/>
        </w:rPr>
        <w:t>财政拨款收入</w:t>
      </w:r>
      <w:r>
        <w:rPr>
          <w:rFonts w:hint="eastAsia" w:ascii="仿宋_GB2312" w:hAnsi="仿宋" w:eastAsia="仿宋_GB2312"/>
          <w:sz w:val="32"/>
          <w:szCs w:val="32"/>
          <w:lang w:val="en-US" w:eastAsia="zh-CN"/>
        </w:rPr>
        <w:t>3,867.32</w:t>
      </w:r>
      <w:r>
        <w:rPr>
          <w:rFonts w:hint="eastAsia" w:ascii="仿宋" w:hAnsi="仿宋" w:eastAsia="仿宋"/>
          <w:color w:val="000000"/>
          <w:sz w:val="32"/>
          <w:szCs w:val="32"/>
          <w:lang w:val="en-US" w:eastAsia="zh-CN"/>
        </w:rPr>
        <w:t>万元，</w:t>
      </w:r>
      <w:r>
        <w:rPr>
          <w:rFonts w:hint="eastAsia" w:ascii="仿宋_GB2312" w:hAnsi="仿宋" w:eastAsia="仿宋_GB2312"/>
          <w:sz w:val="32"/>
          <w:szCs w:val="32"/>
        </w:rPr>
        <w:t>对比201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年的</w:t>
      </w:r>
      <w:r>
        <w:rPr>
          <w:rFonts w:hint="eastAsia" w:ascii="仿宋_GB2312" w:hAnsi="仿宋" w:eastAsia="仿宋_GB2312"/>
          <w:sz w:val="32"/>
          <w:szCs w:val="32"/>
          <w:lang w:val="en-US" w:eastAsia="zh-CN"/>
        </w:rPr>
        <w:t>3,758.60万</w:t>
      </w:r>
      <w:r>
        <w:rPr>
          <w:rFonts w:hint="eastAsia" w:ascii="仿宋_GB2312" w:hAnsi="仿宋" w:eastAsia="仿宋_GB2312"/>
          <w:sz w:val="32"/>
          <w:szCs w:val="32"/>
        </w:rPr>
        <w:t>元，</w:t>
      </w:r>
      <w:r>
        <w:rPr>
          <w:rFonts w:hint="eastAsia" w:ascii="仿宋_GB2312" w:hAnsi="仿宋" w:eastAsia="仿宋_GB2312"/>
          <w:sz w:val="32"/>
          <w:szCs w:val="32"/>
          <w:lang w:eastAsia="zh-CN"/>
        </w:rPr>
        <w:t>增加</w:t>
      </w:r>
      <w:r>
        <w:rPr>
          <w:rFonts w:hint="eastAsia" w:ascii="仿宋_GB2312" w:hAnsi="仿宋" w:eastAsia="仿宋_GB2312"/>
          <w:sz w:val="32"/>
          <w:szCs w:val="32"/>
        </w:rPr>
        <w:t>了</w:t>
      </w:r>
      <w:r>
        <w:rPr>
          <w:rFonts w:hint="eastAsia" w:ascii="仿宋_GB2312" w:hAnsi="仿宋" w:eastAsia="仿宋_GB2312"/>
          <w:sz w:val="32"/>
          <w:szCs w:val="32"/>
          <w:lang w:val="en-US" w:eastAsia="zh-CN"/>
        </w:rPr>
        <w:t>108.72万</w:t>
      </w:r>
      <w:r>
        <w:rPr>
          <w:rFonts w:hint="eastAsia" w:ascii="仿宋_GB2312" w:hAnsi="仿宋" w:eastAsia="仿宋_GB2312"/>
          <w:sz w:val="32"/>
          <w:szCs w:val="32"/>
        </w:rPr>
        <w:t>元，增幅为</w:t>
      </w:r>
      <w:r>
        <w:rPr>
          <w:rFonts w:hint="eastAsia" w:ascii="仿宋_GB2312" w:hAnsi="仿宋" w:eastAsia="仿宋_GB2312"/>
          <w:sz w:val="32"/>
          <w:szCs w:val="32"/>
          <w:lang w:val="en-US" w:eastAsia="zh-CN"/>
        </w:rPr>
        <w:t>2.89</w:t>
      </w:r>
      <w:r>
        <w:rPr>
          <w:rFonts w:hint="eastAsia" w:ascii="仿宋_GB2312" w:hAnsi="仿宋" w:eastAsia="仿宋_GB2312"/>
          <w:sz w:val="32"/>
          <w:szCs w:val="32"/>
        </w:rPr>
        <w:t>%，原因是201</w:t>
      </w:r>
      <w:r>
        <w:rPr>
          <w:rFonts w:hint="eastAsia" w:ascii="仿宋_GB2312" w:hAnsi="仿宋" w:eastAsia="仿宋_GB2312"/>
          <w:sz w:val="32"/>
          <w:szCs w:val="32"/>
          <w:lang w:val="en-US" w:eastAsia="zh-CN"/>
        </w:rPr>
        <w:t>9年工资福利支出增加</w:t>
      </w:r>
      <w:r>
        <w:rPr>
          <w:rFonts w:hint="eastAsia" w:ascii="仿宋_GB2312" w:hAnsi="仿宋" w:eastAsia="仿宋_GB2312"/>
          <w:sz w:val="32"/>
          <w:szCs w:val="32"/>
        </w:rPr>
        <w:t>；年</w:t>
      </w:r>
      <w:r>
        <w:rPr>
          <w:rFonts w:hint="eastAsia" w:ascii="仿宋_GB2312" w:hAnsi="仿宋" w:eastAsia="仿宋_GB2312"/>
          <w:sz w:val="32"/>
          <w:szCs w:val="32"/>
          <w:lang w:eastAsia="zh-CN"/>
        </w:rPr>
        <w:t>末财政拨款</w:t>
      </w:r>
      <w:r>
        <w:rPr>
          <w:rFonts w:hint="eastAsia" w:ascii="仿宋_GB2312" w:hAnsi="仿宋" w:eastAsia="仿宋_GB2312"/>
          <w:sz w:val="32"/>
          <w:szCs w:val="32"/>
        </w:rPr>
        <w:t>结转和结余</w:t>
      </w:r>
      <w:r>
        <w:rPr>
          <w:rFonts w:hint="eastAsia" w:ascii="仿宋_GB2312" w:hAnsi="仿宋" w:eastAsia="仿宋_GB2312"/>
          <w:sz w:val="32"/>
          <w:szCs w:val="32"/>
          <w:lang w:val="en-US" w:eastAsia="zh-CN"/>
        </w:rPr>
        <w:t>277.71万</w:t>
      </w:r>
      <w:r>
        <w:rPr>
          <w:rFonts w:hint="eastAsia" w:ascii="仿宋_GB2312" w:hAnsi="仿宋" w:eastAsia="仿宋_GB2312"/>
          <w:sz w:val="32"/>
          <w:szCs w:val="32"/>
        </w:rPr>
        <w:t>元。2019年我院</w:t>
      </w:r>
      <w:r>
        <w:rPr>
          <w:rFonts w:hint="eastAsia" w:ascii="仿宋" w:hAnsi="仿宋" w:eastAsia="仿宋"/>
          <w:color w:val="000000"/>
          <w:sz w:val="32"/>
          <w:szCs w:val="32"/>
          <w:lang w:eastAsia="zh-CN"/>
        </w:rPr>
        <w:t>财政拨款</w:t>
      </w:r>
      <w:r>
        <w:rPr>
          <w:rFonts w:hint="eastAsia" w:ascii="仿宋_GB2312" w:hAnsi="仿宋" w:eastAsia="仿宋_GB2312"/>
          <w:sz w:val="32"/>
          <w:szCs w:val="32"/>
        </w:rPr>
        <w:t>支出3784</w:t>
      </w:r>
      <w:r>
        <w:rPr>
          <w:rFonts w:hint="eastAsia" w:ascii="仿宋_GB2312" w:hAnsi="仿宋" w:eastAsia="仿宋_GB2312"/>
          <w:sz w:val="32"/>
          <w:szCs w:val="32"/>
          <w:lang w:val="en-US" w:eastAsia="zh-CN"/>
        </w:rPr>
        <w:t>.38万</w:t>
      </w:r>
      <w:r>
        <w:rPr>
          <w:rFonts w:hint="eastAsia" w:ascii="仿宋_GB2312" w:hAnsi="仿宋" w:eastAsia="仿宋_GB2312"/>
          <w:sz w:val="32"/>
          <w:szCs w:val="32"/>
        </w:rPr>
        <w:t>元，对比2018年4315</w:t>
      </w:r>
      <w:r>
        <w:rPr>
          <w:rFonts w:hint="eastAsia" w:ascii="仿宋_GB2312" w:hAnsi="仿宋" w:eastAsia="仿宋_GB2312"/>
          <w:sz w:val="32"/>
          <w:szCs w:val="32"/>
          <w:lang w:val="en-US" w:eastAsia="zh-CN"/>
        </w:rPr>
        <w:t>.25万</w:t>
      </w:r>
      <w:r>
        <w:rPr>
          <w:rFonts w:hint="eastAsia" w:ascii="仿宋_GB2312" w:hAnsi="仿宋" w:eastAsia="仿宋_GB2312"/>
          <w:sz w:val="32"/>
          <w:szCs w:val="32"/>
        </w:rPr>
        <w:t>元，减少了530</w:t>
      </w:r>
      <w:r>
        <w:rPr>
          <w:rFonts w:hint="eastAsia" w:ascii="仿宋_GB2312" w:hAnsi="仿宋" w:eastAsia="仿宋_GB2312"/>
          <w:sz w:val="32"/>
          <w:szCs w:val="32"/>
          <w:lang w:val="en-US" w:eastAsia="zh-CN"/>
        </w:rPr>
        <w:t>.93万</w:t>
      </w:r>
      <w:r>
        <w:rPr>
          <w:rFonts w:hint="eastAsia" w:ascii="仿宋_GB2312" w:hAnsi="仿宋" w:eastAsia="仿宋_GB2312"/>
          <w:sz w:val="32"/>
          <w:szCs w:val="32"/>
        </w:rPr>
        <w:t>元，减幅12.3%，减少原因为基建项目支出减少。</w:t>
      </w:r>
    </w:p>
    <w:p>
      <w:pPr>
        <w:pageBreakBefore w:val="0"/>
        <w:kinsoku/>
        <w:wordWrap/>
        <w:overflowPunct/>
        <w:topLinePunct w:val="0"/>
        <w:bidi w:val="0"/>
        <w:spacing w:line="578" w:lineRule="exact"/>
        <w:ind w:firstLine="640" w:firstLineChars="200"/>
        <w:rPr>
          <w:rFonts w:hint="eastAsia" w:ascii="仿宋" w:hAnsi="仿宋" w:eastAsia="仿宋" w:cs="宋体"/>
          <w:bCs/>
          <w:color w:val="000000"/>
          <w:kern w:val="0"/>
          <w:sz w:val="32"/>
          <w:szCs w:val="32"/>
          <w:lang w:val="en-US" w:eastAsia="zh-CN" w:bidi="ar-SA"/>
        </w:rPr>
      </w:pPr>
    </w:p>
    <w:p>
      <w:pPr>
        <w:pageBreakBefore w:val="0"/>
        <w:kinsoku/>
        <w:wordWrap/>
        <w:overflowPunct/>
        <w:topLinePunct w:val="0"/>
        <w:bidi w:val="0"/>
        <w:spacing w:line="578" w:lineRule="exact"/>
        <w:rPr>
          <w:rFonts w:ascii="仿宋" w:hAnsi="仿宋" w:eastAsia="仿宋"/>
          <w:color w:val="000000"/>
          <w:sz w:val="32"/>
          <w:szCs w:val="32"/>
        </w:rPr>
      </w:pPr>
      <w:r>
        <w:rPr>
          <w:rFonts w:hint="eastAsia" w:ascii="仿宋" w:hAnsi="仿宋" w:eastAsia="仿宋"/>
          <w:color w:val="000000" w:themeColor="text1"/>
          <w:sz w:val="32"/>
          <w:szCs w:val="32"/>
          <w:lang w:eastAsia="zh-CN"/>
        </w:rPr>
        <w:drawing>
          <wp:anchor distT="0" distB="0" distL="114300" distR="114300" simplePos="0" relativeHeight="251660288" behindDoc="0" locked="0" layoutInCell="1" allowOverlap="1">
            <wp:simplePos x="0" y="0"/>
            <wp:positionH relativeFrom="column">
              <wp:posOffset>609600</wp:posOffset>
            </wp:positionH>
            <wp:positionV relativeFrom="paragraph">
              <wp:posOffset>123825</wp:posOffset>
            </wp:positionV>
            <wp:extent cx="4251325" cy="2761615"/>
            <wp:effectExtent l="4445" t="4445" r="11430" b="1524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p>
    <w:p>
      <w:pPr>
        <w:pageBreakBefore w:val="0"/>
        <w:kinsoku/>
        <w:wordWrap/>
        <w:overflowPunct/>
        <w:topLinePunct w:val="0"/>
        <w:bidi w:val="0"/>
        <w:spacing w:line="578" w:lineRule="exact"/>
        <w:rPr>
          <w:rFonts w:hint="eastAsia" w:ascii="仿宋" w:hAnsi="仿宋" w:eastAsia="仿宋"/>
          <w:color w:val="000000" w:themeColor="text1"/>
          <w:sz w:val="32"/>
          <w:szCs w:val="32"/>
        </w:rPr>
      </w:pPr>
    </w:p>
    <w:p>
      <w:pPr>
        <w:pageBreakBefore w:val="0"/>
        <w:kinsoku/>
        <w:wordWrap/>
        <w:overflowPunct/>
        <w:topLinePunct w:val="0"/>
        <w:bidi w:val="0"/>
        <w:spacing w:line="578"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w:t>
      </w:r>
      <w:r>
        <w:rPr>
          <w:rFonts w:hint="eastAsia" w:ascii="仿宋" w:hAnsi="仿宋" w:eastAsia="仿宋"/>
          <w:color w:val="000000" w:themeColor="text1"/>
          <w:sz w:val="32"/>
          <w:szCs w:val="32"/>
          <w:lang w:eastAsia="zh-CN"/>
        </w:rPr>
        <w:t>单位：万元</w:t>
      </w:r>
      <w:r>
        <w:rPr>
          <w:rFonts w:hint="eastAsia" w:ascii="仿宋" w:hAnsi="仿宋" w:eastAsia="仿宋"/>
          <w:color w:val="000000" w:themeColor="text1"/>
          <w:sz w:val="32"/>
          <w:szCs w:val="32"/>
        </w:rPr>
        <w:t>）</w:t>
      </w:r>
    </w:p>
    <w:p>
      <w:pPr>
        <w:pageBreakBefore w:val="0"/>
        <w:kinsoku/>
        <w:wordWrap/>
        <w:overflowPunct/>
        <w:topLinePunct w:val="0"/>
        <w:bidi w:val="0"/>
        <w:spacing w:line="578" w:lineRule="exact"/>
        <w:ind w:firstLine="640" w:firstLineChars="200"/>
        <w:outlineLvl w:val="1"/>
        <w:rPr>
          <w:rFonts w:hint="eastAsia" w:ascii="黑体" w:hAnsi="黑体" w:eastAsia="黑体"/>
          <w:color w:val="000000"/>
          <w:sz w:val="32"/>
          <w:szCs w:val="32"/>
        </w:rPr>
      </w:pPr>
      <w:bookmarkStart w:id="32" w:name="_Toc15377209"/>
      <w:bookmarkStart w:id="33" w:name="_Toc15396607"/>
    </w:p>
    <w:p>
      <w:pPr>
        <w:pageBreakBefore w:val="0"/>
        <w:kinsoku/>
        <w:wordWrap/>
        <w:overflowPunct/>
        <w:topLinePunct w:val="0"/>
        <w:bidi w:val="0"/>
        <w:spacing w:line="578"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78"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pageBreakBefore w:val="0"/>
        <w:kinsoku/>
        <w:wordWrap/>
        <w:overflowPunct/>
        <w:topLinePunct w:val="0"/>
        <w:bidi w:val="0"/>
        <w:spacing w:line="578" w:lineRule="exact"/>
        <w:ind w:firstLine="640" w:firstLineChars="200"/>
        <w:rPr>
          <w:rFonts w:hint="eastAsia"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3573.19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94.42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742.06</w:t>
      </w:r>
      <w:r>
        <w:rPr>
          <w:rFonts w:hint="eastAsia" w:ascii="仿宋" w:hAnsi="仿宋" w:eastAsia="仿宋"/>
          <w:color w:val="000000"/>
          <w:sz w:val="32"/>
          <w:szCs w:val="32"/>
        </w:rPr>
        <w:t>万元，下降</w:t>
      </w:r>
      <w:r>
        <w:rPr>
          <w:rFonts w:hint="eastAsia" w:ascii="仿宋" w:hAnsi="仿宋" w:eastAsia="仿宋" w:cs="宋体"/>
          <w:bCs/>
          <w:color w:val="000000"/>
          <w:kern w:val="0"/>
          <w:sz w:val="32"/>
          <w:szCs w:val="32"/>
          <w:lang w:val="en-US" w:eastAsia="zh-CN" w:bidi="ar-SA"/>
        </w:rPr>
        <w:t>17.19%，主要</w:t>
      </w:r>
      <w:r>
        <w:rPr>
          <w:rFonts w:hint="eastAsia" w:ascii="仿宋_GB2312" w:hAnsi="仿宋" w:eastAsia="仿宋_GB2312"/>
          <w:sz w:val="32"/>
          <w:szCs w:val="32"/>
          <w:lang w:eastAsia="zh-CN"/>
        </w:rPr>
        <w:t>减少原因为基建项目支出减少</w:t>
      </w:r>
      <w:r>
        <w:rPr>
          <w:rFonts w:hint="eastAsia" w:ascii="仿宋" w:hAnsi="仿宋" w:eastAsia="仿宋" w:cs="宋体"/>
          <w:bCs/>
          <w:color w:val="000000"/>
          <w:kern w:val="0"/>
          <w:sz w:val="32"/>
          <w:szCs w:val="32"/>
          <w:lang w:val="en-US" w:eastAsia="zh-CN" w:bidi="ar-SA"/>
        </w:rPr>
        <w:t>。</w:t>
      </w:r>
    </w:p>
    <w:p>
      <w:pPr>
        <w:pageBreakBefore w:val="0"/>
        <w:kinsoku/>
        <w:wordWrap/>
        <w:overflowPunct/>
        <w:topLinePunct w:val="0"/>
        <w:bidi w:val="0"/>
        <w:spacing w:line="578" w:lineRule="exact"/>
        <w:ind w:firstLine="960" w:firstLineChars="300"/>
        <w:rPr>
          <w:rFonts w:hint="eastAsia" w:ascii="仿宋" w:hAnsi="仿宋" w:eastAsia="仿宋"/>
          <w:color w:val="000000" w:themeColor="text1"/>
          <w:sz w:val="32"/>
          <w:szCs w:val="32"/>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933450</wp:posOffset>
            </wp:positionH>
            <wp:positionV relativeFrom="paragraph">
              <wp:posOffset>-90805</wp:posOffset>
            </wp:positionV>
            <wp:extent cx="3206750" cy="2085975"/>
            <wp:effectExtent l="4445" t="4445" r="8255"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bidi w:val="0"/>
        <w:spacing w:line="578" w:lineRule="exact"/>
        <w:ind w:firstLine="960" w:firstLineChars="3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图5：一</w:t>
      </w:r>
      <w:r>
        <w:rPr>
          <w:rFonts w:hint="eastAsia" w:ascii="仿宋" w:hAnsi="仿宋" w:eastAsia="仿宋"/>
          <w:color w:val="000000" w:themeColor="text1"/>
          <w:sz w:val="32"/>
          <w:szCs w:val="32"/>
          <w:lang w:val="en-US" w:eastAsia="zh-CN"/>
        </w:rPr>
        <w:t xml:space="preserve"> </w:t>
      </w:r>
      <w:r>
        <w:rPr>
          <w:rFonts w:hint="eastAsia" w:ascii="仿宋" w:hAnsi="仿宋" w:eastAsia="仿宋"/>
          <w:color w:val="000000" w:themeColor="text1"/>
          <w:sz w:val="32"/>
          <w:szCs w:val="32"/>
        </w:rPr>
        <w:t>般公共预算财政拨款支出决算变动情况（</w:t>
      </w:r>
      <w:r>
        <w:rPr>
          <w:rFonts w:hint="eastAsia" w:ascii="仿宋" w:hAnsi="仿宋" w:eastAsia="仿宋"/>
          <w:color w:val="000000" w:themeColor="text1"/>
          <w:sz w:val="32"/>
          <w:szCs w:val="32"/>
          <w:lang w:eastAsia="zh-CN"/>
        </w:rPr>
        <w:t>单位：万元</w:t>
      </w:r>
      <w:r>
        <w:rPr>
          <w:rFonts w:hint="eastAsia" w:ascii="仿宋" w:hAnsi="仿宋" w:eastAsia="仿宋"/>
          <w:color w:val="000000" w:themeColor="text1"/>
          <w:sz w:val="32"/>
          <w:szCs w:val="32"/>
        </w:rPr>
        <w:t>）</w:t>
      </w:r>
    </w:p>
    <w:p>
      <w:pPr>
        <w:pageBreakBefore w:val="0"/>
        <w:kinsoku/>
        <w:wordWrap/>
        <w:overflowPunct/>
        <w:topLinePunct w:val="0"/>
        <w:bidi w:val="0"/>
        <w:spacing w:line="578" w:lineRule="exact"/>
        <w:outlineLvl w:val="2"/>
        <w:rPr>
          <w:rFonts w:hint="eastAsia" w:ascii="仿宋" w:hAnsi="仿宋" w:eastAsia="仿宋"/>
          <w:b/>
          <w:color w:val="000000"/>
          <w:sz w:val="32"/>
          <w:szCs w:val="32"/>
        </w:rPr>
      </w:pPr>
      <w:bookmarkStart w:id="35" w:name="_Toc15377211"/>
    </w:p>
    <w:p>
      <w:pPr>
        <w:pageBreakBefore w:val="0"/>
        <w:kinsoku/>
        <w:wordWrap/>
        <w:overflowPunct/>
        <w:topLinePunct w:val="0"/>
        <w:bidi w:val="0"/>
        <w:spacing w:line="578"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pageBreakBefore w:val="0"/>
        <w:kinsoku/>
        <w:wordWrap/>
        <w:overflowPunct/>
        <w:topLinePunct w:val="0"/>
        <w:bidi w:val="0"/>
        <w:spacing w:line="578"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2849245</wp:posOffset>
            </wp:positionH>
            <wp:positionV relativeFrom="paragraph">
              <wp:posOffset>2059940</wp:posOffset>
            </wp:positionV>
            <wp:extent cx="2460625" cy="2534920"/>
            <wp:effectExtent l="4445" t="4445" r="11430" b="1333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sz w:val="32"/>
          <w:szCs w:val="32"/>
        </w:rPr>
        <w:t>2019年一般公共预算财政拨款支出</w:t>
      </w:r>
      <w:r>
        <w:rPr>
          <w:rFonts w:hint="eastAsia" w:ascii="仿宋" w:hAnsi="仿宋" w:eastAsia="仿宋"/>
          <w:color w:val="000000"/>
          <w:sz w:val="32"/>
          <w:szCs w:val="32"/>
          <w:lang w:val="en-US" w:eastAsia="zh-CN"/>
        </w:rPr>
        <w:t>3573.19</w:t>
      </w:r>
      <w:r>
        <w:rPr>
          <w:rFonts w:hint="eastAsia" w:ascii="仿宋" w:hAnsi="仿宋" w:eastAsia="仿宋"/>
          <w:color w:val="000000"/>
          <w:sz w:val="32"/>
          <w:szCs w:val="32"/>
        </w:rPr>
        <w:t>万元，主要用于以下方面:</w:t>
      </w:r>
      <w:r>
        <w:rPr>
          <w:rFonts w:hint="eastAsia" w:ascii="仿宋" w:hAnsi="仿宋" w:eastAsia="仿宋"/>
          <w:color w:val="000000"/>
          <w:sz w:val="32"/>
          <w:szCs w:val="32"/>
          <w:lang w:eastAsia="zh-CN"/>
        </w:rPr>
        <w:t>公共安全支出（类）</w:t>
      </w:r>
      <w:r>
        <w:rPr>
          <w:rFonts w:hint="eastAsia" w:ascii="仿宋" w:hAnsi="仿宋" w:eastAsia="仿宋"/>
          <w:color w:val="000000"/>
          <w:sz w:val="32"/>
          <w:szCs w:val="32"/>
          <w:lang w:val="en-US" w:eastAsia="zh-CN"/>
        </w:rPr>
        <w:t>3245.98万元，占90.82%</w:t>
      </w:r>
      <w:r>
        <w:rPr>
          <w:rFonts w:hint="eastAsia" w:ascii="仿宋" w:hAnsi="仿宋" w:eastAsia="仿宋"/>
          <w:color w:val="000000"/>
          <w:sz w:val="32"/>
          <w:szCs w:val="32"/>
        </w:rPr>
        <w:t>；社会保障和就业（类）支出</w:t>
      </w:r>
      <w:r>
        <w:rPr>
          <w:rFonts w:hint="eastAsia" w:ascii="仿宋" w:hAnsi="仿宋" w:eastAsia="仿宋"/>
          <w:color w:val="000000"/>
          <w:sz w:val="32"/>
          <w:szCs w:val="32"/>
          <w:lang w:val="en-US" w:eastAsia="zh-CN"/>
        </w:rPr>
        <w:t>160.7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4.49</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71.95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color w:val="000000"/>
          <w:sz w:val="32"/>
          <w:szCs w:val="32"/>
          <w:lang w:eastAsia="zh-CN"/>
        </w:rPr>
        <w:t>住房保障支出（类）</w:t>
      </w:r>
      <w:r>
        <w:rPr>
          <w:rFonts w:hint="eastAsia" w:ascii="仿宋" w:hAnsi="仿宋" w:eastAsia="仿宋"/>
          <w:color w:val="000000"/>
          <w:sz w:val="32"/>
          <w:szCs w:val="32"/>
          <w:lang w:val="en-US" w:eastAsia="zh-CN"/>
        </w:rPr>
        <w:t>82.33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,2.69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 xml:space="preserve">。   </w:t>
      </w:r>
    </w:p>
    <w:p>
      <w:pPr>
        <w:pageBreakBefore w:val="0"/>
        <w:kinsoku/>
        <w:wordWrap/>
        <w:overflowPunct/>
        <w:topLinePunct w:val="0"/>
        <w:bidi w:val="0"/>
        <w:spacing w:line="578" w:lineRule="exact"/>
        <w:ind w:firstLine="640" w:firstLineChars="200"/>
        <w:rPr>
          <w:rFonts w:hint="eastAsia" w:ascii="仿宋" w:hAnsi="仿宋" w:eastAsia="仿宋"/>
          <w:color w:val="000000"/>
          <w:sz w:val="32"/>
          <w:szCs w:val="32"/>
        </w:rPr>
      </w:pPr>
    </w:p>
    <w:p>
      <w:pPr>
        <w:pageBreakBefore w:val="0"/>
        <w:kinsoku/>
        <w:wordWrap/>
        <w:overflowPunct/>
        <w:topLinePunct w:val="0"/>
        <w:bidi w:val="0"/>
        <w:spacing w:line="578"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r>
        <w:rPr>
          <w:rFonts w:hint="eastAsia" w:ascii="仿宋" w:hAnsi="仿宋" w:eastAsia="仿宋"/>
          <w:color w:val="000000"/>
          <w:sz w:val="32"/>
          <w:szCs w:val="32"/>
          <w:lang w:eastAsia="zh-CN"/>
        </w:rPr>
        <w:t>单位：万元</w:t>
      </w:r>
      <w:r>
        <w:rPr>
          <w:rFonts w:hint="eastAsia" w:ascii="仿宋" w:hAnsi="仿宋" w:eastAsia="仿宋"/>
          <w:color w:val="000000"/>
          <w:sz w:val="32"/>
          <w:szCs w:val="32"/>
        </w:rPr>
        <w:t>）</w:t>
      </w:r>
    </w:p>
    <w:p>
      <w:pPr>
        <w:pageBreakBefore w:val="0"/>
        <w:kinsoku/>
        <w:wordWrap/>
        <w:overflowPunct/>
        <w:topLinePunct w:val="0"/>
        <w:bidi w:val="0"/>
        <w:spacing w:line="578" w:lineRule="exact"/>
        <w:outlineLvl w:val="2"/>
        <w:rPr>
          <w:rFonts w:hint="eastAsia" w:ascii="仿宋" w:hAnsi="仿宋" w:eastAsia="仿宋"/>
          <w:b/>
          <w:color w:val="000000"/>
          <w:sz w:val="32"/>
          <w:szCs w:val="32"/>
        </w:rPr>
      </w:pPr>
      <w:bookmarkStart w:id="36" w:name="_Toc15377212"/>
    </w:p>
    <w:p>
      <w:pPr>
        <w:pageBreakBefore w:val="0"/>
        <w:kinsoku/>
        <w:wordWrap/>
        <w:overflowPunct/>
        <w:topLinePunct w:val="0"/>
        <w:bidi w:val="0"/>
        <w:spacing w:line="578" w:lineRule="exact"/>
        <w:outlineLvl w:val="2"/>
        <w:rPr>
          <w:rFonts w:hint="eastAsia" w:ascii="仿宋" w:hAnsi="仿宋" w:eastAsia="仿宋"/>
          <w:b/>
          <w:color w:val="000000"/>
          <w:sz w:val="32"/>
          <w:szCs w:val="32"/>
        </w:rPr>
      </w:pPr>
    </w:p>
    <w:p>
      <w:pPr>
        <w:pageBreakBefore w:val="0"/>
        <w:kinsoku/>
        <w:wordWrap/>
        <w:overflowPunct/>
        <w:topLinePunct w:val="0"/>
        <w:bidi w:val="0"/>
        <w:spacing w:line="578" w:lineRule="exact"/>
        <w:outlineLvl w:val="2"/>
        <w:rPr>
          <w:rFonts w:hint="eastAsia" w:ascii="仿宋" w:hAnsi="仿宋" w:eastAsia="仿宋"/>
          <w:b/>
          <w:color w:val="000000"/>
          <w:sz w:val="32"/>
          <w:szCs w:val="32"/>
        </w:rPr>
      </w:pPr>
    </w:p>
    <w:p>
      <w:pPr>
        <w:pageBreakBefore w:val="0"/>
        <w:kinsoku/>
        <w:wordWrap/>
        <w:overflowPunct/>
        <w:topLinePunct w:val="0"/>
        <w:bidi w:val="0"/>
        <w:spacing w:line="578" w:lineRule="exact"/>
        <w:outlineLvl w:val="2"/>
        <w:rPr>
          <w:rFonts w:hint="eastAsia" w:ascii="仿宋" w:hAnsi="仿宋" w:eastAsia="仿宋"/>
          <w:b/>
          <w:color w:val="000000"/>
          <w:sz w:val="32"/>
          <w:szCs w:val="32"/>
        </w:rPr>
      </w:pPr>
    </w:p>
    <w:p>
      <w:pPr>
        <w:pageBreakBefore w:val="0"/>
        <w:kinsoku/>
        <w:wordWrap/>
        <w:overflowPunct/>
        <w:topLinePunct w:val="0"/>
        <w:bidi w:val="0"/>
        <w:spacing w:line="578" w:lineRule="exact"/>
        <w:outlineLvl w:val="2"/>
        <w:rPr>
          <w:rFonts w:hint="eastAsia" w:ascii="仿宋" w:hAnsi="仿宋" w:eastAsia="仿宋"/>
          <w:b/>
          <w:color w:val="000000"/>
          <w:sz w:val="32"/>
          <w:szCs w:val="32"/>
        </w:rPr>
      </w:pPr>
    </w:p>
    <w:p>
      <w:pPr>
        <w:pageBreakBefore w:val="0"/>
        <w:kinsoku/>
        <w:wordWrap/>
        <w:overflowPunct/>
        <w:topLinePunct w:val="0"/>
        <w:bidi w:val="0"/>
        <w:spacing w:line="578" w:lineRule="exact"/>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pageBreakBefore w:val="0"/>
        <w:kinsoku/>
        <w:wordWrap/>
        <w:overflowPunct/>
        <w:topLinePunct w:val="0"/>
        <w:bidi w:val="0"/>
        <w:spacing w:line="578"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3573.19万元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pageBreakBefore w:val="0"/>
        <w:numPr>
          <w:ilvl w:val="0"/>
          <w:numId w:val="3"/>
        </w:numPr>
        <w:kinsoku/>
        <w:wordWrap/>
        <w:overflowPunct/>
        <w:topLinePunct w:val="0"/>
        <w:bidi w:val="0"/>
        <w:snapToGrid w:val="0"/>
        <w:spacing w:line="578" w:lineRule="exact"/>
        <w:ind w:firstLine="640" w:firstLineChars="200"/>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公共安全支出（类）法院（款）行政运行（项）（2040501）: 支出决算为3143.95万元，完成预算100%。</w:t>
      </w:r>
    </w:p>
    <w:p>
      <w:pPr>
        <w:pageBreakBefore w:val="0"/>
        <w:kinsoku/>
        <w:wordWrap/>
        <w:overflowPunct/>
        <w:topLinePunct w:val="0"/>
        <w:bidi w:val="0"/>
        <w:spacing w:line="578" w:lineRule="exact"/>
        <w:ind w:firstLine="640" w:firstLineChars="200"/>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2.公共安全支出（类）公共安全支出（款）一般行政管理事务（项）（2040499）: 支出决算为102.03万元，完成预算100%。</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3</w:t>
      </w:r>
      <w:r>
        <w:rPr>
          <w:rStyle w:val="15"/>
          <w:rFonts w:ascii="仿宋" w:hAnsi="仿宋" w:eastAsia="仿宋"/>
          <w:bCs/>
          <w:color w:val="000000"/>
          <w:sz w:val="32"/>
          <w:szCs w:val="32"/>
        </w:rPr>
        <w:t>.</w:t>
      </w:r>
      <w:r>
        <w:rPr>
          <w:rFonts w:hint="eastAsia" w:ascii="仿宋" w:hAnsi="仿宋" w:eastAsia="仿宋" w:cs="宋体"/>
          <w:bCs/>
          <w:color w:val="000000"/>
          <w:kern w:val="0"/>
          <w:sz w:val="32"/>
          <w:szCs w:val="32"/>
          <w:lang w:val="en-US" w:eastAsia="zh-CN" w:bidi="ar-SA"/>
        </w:rPr>
        <w:t>社会保障和就业支出（类）行政事业单位离退休（款）机关事业单位基本养老保险缴费支出（项）（2080505）：支出决算为137.39万元，完成预算100%。</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4</w:t>
      </w:r>
      <w:r>
        <w:rPr>
          <w:rStyle w:val="15"/>
          <w:rFonts w:ascii="仿宋" w:hAnsi="仿宋" w:eastAsia="仿宋"/>
          <w:bCs/>
          <w:color w:val="000000"/>
          <w:sz w:val="32"/>
          <w:szCs w:val="32"/>
        </w:rPr>
        <w:t>.</w:t>
      </w:r>
      <w:r>
        <w:rPr>
          <w:rFonts w:hint="eastAsia" w:ascii="仿宋" w:hAnsi="仿宋" w:eastAsia="仿宋" w:cs="宋体"/>
          <w:bCs/>
          <w:color w:val="000000"/>
          <w:kern w:val="0"/>
          <w:sz w:val="32"/>
          <w:szCs w:val="32"/>
          <w:lang w:val="en-US" w:eastAsia="zh-CN" w:bidi="ar-SA"/>
        </w:rPr>
        <w:t>社会保障和就业支出（类）行政事业单位离退休（款）  机关事业单位职业年金缴费支出（项）（2080506）：支出决算为5.72万元，完成预算100%。</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Style w:val="2"/>
        <w:rPr>
          <w:rFonts w:hint="eastAsia"/>
        </w:rPr>
      </w:pPr>
    </w:p>
    <w:p>
      <w:pPr>
        <w:pageBreakBefore w:val="0"/>
        <w:kinsoku/>
        <w:wordWrap/>
        <w:overflowPunct/>
        <w:topLinePunct w:val="0"/>
        <w:bidi w:val="0"/>
        <w:spacing w:line="578" w:lineRule="exact"/>
        <w:ind w:firstLine="640" w:firstLineChars="200"/>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5.社会保障和就业支出（类）抚恤（款）死亡抚恤（项）（2080808）：支出决算为17.59万元，完成预算100%。</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exact"/>
        <w:ind w:firstLine="640" w:firstLineChars="200"/>
        <w:rPr>
          <w:rFonts w:hint="eastAsia" w:ascii="仿宋" w:hAnsi="仿宋" w:eastAsia="仿宋" w:cs="宋体"/>
          <w:bCs/>
          <w:color w:val="000000"/>
          <w:kern w:val="0"/>
          <w:sz w:val="32"/>
          <w:szCs w:val="32"/>
          <w:lang w:val="en-US" w:eastAsia="zh-CN" w:bidi="ar-SA"/>
        </w:rPr>
      </w:pPr>
      <w:r>
        <w:rPr>
          <w:rFonts w:hint="eastAsia" w:ascii="仿宋" w:hAnsi="仿宋" w:eastAsia="仿宋" w:cs="宋体"/>
          <w:bCs/>
          <w:color w:val="000000"/>
          <w:kern w:val="0"/>
          <w:sz w:val="32"/>
          <w:szCs w:val="32"/>
          <w:lang w:val="en-US" w:eastAsia="zh-CN" w:bidi="ar-SA"/>
        </w:rPr>
        <w:t>6、卫生健康支出（类）行政事业单位医疗（款）行政单位医疗（项）（2101101）：支出决算为71.95万元，完成预算100%。</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ageBreakBefore w:val="0"/>
        <w:kinsoku/>
        <w:wordWrap/>
        <w:overflowPunct/>
        <w:topLinePunct w:val="0"/>
        <w:bidi w:val="0"/>
        <w:snapToGrid w:val="0"/>
        <w:spacing w:line="578" w:lineRule="exact"/>
        <w:ind w:firstLine="640" w:firstLineChars="200"/>
        <w:rPr>
          <w:rStyle w:val="15"/>
          <w:rFonts w:hint="eastAsia" w:ascii="仿宋" w:hAnsi="仿宋" w:eastAsia="仿宋"/>
          <w:b w:val="0"/>
          <w:bCs/>
          <w:color w:val="000000"/>
          <w:sz w:val="32"/>
          <w:szCs w:val="32"/>
        </w:rPr>
      </w:pPr>
      <w:r>
        <w:rPr>
          <w:rFonts w:hint="eastAsia" w:ascii="仿宋" w:hAnsi="仿宋" w:eastAsia="仿宋" w:cs="宋体"/>
          <w:bCs/>
          <w:color w:val="000000"/>
          <w:kern w:val="0"/>
          <w:sz w:val="32"/>
          <w:szCs w:val="32"/>
          <w:lang w:val="en-US" w:eastAsia="zh-CN" w:bidi="ar-SA"/>
        </w:rPr>
        <w:t>7、住房保障支出（类）住房改革支出（款）住房公积金（项）（2210201）：支出决算为94.58万元，完成预算100%。</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ageBreakBefore w:val="0"/>
        <w:tabs>
          <w:tab w:val="right" w:pos="8306"/>
        </w:tabs>
        <w:kinsoku/>
        <w:wordWrap/>
        <w:overflowPunct/>
        <w:topLinePunct w:val="0"/>
        <w:bidi w:val="0"/>
        <w:spacing w:line="578"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pageBreakBefore w:val="0"/>
        <w:kinsoku/>
        <w:wordWrap/>
        <w:overflowPunct/>
        <w:topLinePunct w:val="0"/>
        <w:bidi w:val="0"/>
        <w:spacing w:line="578"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2468.71</w:t>
      </w:r>
      <w:r>
        <w:rPr>
          <w:rFonts w:hint="eastAsia" w:ascii="仿宋" w:hAnsi="仿宋" w:eastAsia="仿宋"/>
          <w:color w:val="000000"/>
          <w:sz w:val="32"/>
          <w:szCs w:val="32"/>
        </w:rPr>
        <w:t>万元，其中：</w:t>
      </w:r>
    </w:p>
    <w:p>
      <w:pPr>
        <w:pageBreakBefore w:val="0"/>
        <w:kinsoku/>
        <w:wordWrap/>
        <w:overflowPunct/>
        <w:topLinePunct w:val="0"/>
        <w:bidi w:val="0"/>
        <w:spacing w:line="578" w:lineRule="exact"/>
        <w:ind w:firstLine="645"/>
        <w:rPr>
          <w:rFonts w:hint="default" w:ascii="仿宋" w:hAnsi="仿宋" w:eastAsia="仿宋"/>
          <w:color w:val="000000"/>
          <w:sz w:val="32"/>
          <w:szCs w:val="32"/>
          <w:lang w:val="en-US"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2097</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457.13万元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1131.98元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34.58万元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137.39万元</w:t>
      </w:r>
      <w:r>
        <w:rPr>
          <w:rFonts w:hint="eastAsia" w:ascii="仿宋" w:hAnsi="仿宋" w:eastAsia="仿宋"/>
          <w:color w:val="000000"/>
          <w:sz w:val="32"/>
          <w:szCs w:val="32"/>
        </w:rPr>
        <w:t>、</w:t>
      </w:r>
      <w:r>
        <w:rPr>
          <w:rFonts w:hint="eastAsia" w:ascii="仿宋" w:hAnsi="仿宋" w:eastAsia="仿宋" w:cs="宋体"/>
          <w:bCs/>
          <w:color w:val="000000"/>
          <w:kern w:val="0"/>
          <w:sz w:val="32"/>
          <w:szCs w:val="32"/>
          <w:lang w:val="en-US" w:eastAsia="zh-CN" w:bidi="ar-SA"/>
        </w:rPr>
        <w:t>职工基本医疗保险缴费5.72万元、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6.75万元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139万元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94.58万元</w:t>
      </w:r>
      <w:r>
        <w:rPr>
          <w:rFonts w:hint="eastAsia" w:ascii="仿宋" w:hAnsi="仿宋" w:eastAsia="仿宋"/>
          <w:color w:val="000000"/>
          <w:sz w:val="32"/>
          <w:szCs w:val="32"/>
        </w:rPr>
        <w:t>、其他对个人和家庭的补助支出</w:t>
      </w:r>
      <w:r>
        <w:rPr>
          <w:rFonts w:hint="eastAsia" w:ascii="仿宋" w:hAnsi="仿宋" w:eastAsia="仿宋"/>
          <w:color w:val="000000"/>
          <w:sz w:val="32"/>
          <w:szCs w:val="32"/>
          <w:lang w:val="en-US" w:eastAsia="zh-CN"/>
        </w:rPr>
        <w:t>17.92万元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343.84</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23.5万元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6万元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5.1万元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30.76万元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24万元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30.7万元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18.37万元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11.24万元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16.66万元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12万元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5万元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11万元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11.38万元</w:t>
      </w:r>
      <w:r>
        <w:rPr>
          <w:rFonts w:hint="eastAsia" w:ascii="仿宋" w:hAnsi="仿宋" w:eastAsia="仿宋"/>
          <w:color w:val="000000"/>
          <w:sz w:val="32"/>
          <w:szCs w:val="32"/>
        </w:rPr>
        <w:t>、福利费</w:t>
      </w:r>
      <w:r>
        <w:rPr>
          <w:rFonts w:hint="eastAsia" w:ascii="仿宋" w:hAnsi="仿宋" w:eastAsia="仿宋"/>
          <w:color w:val="000000"/>
          <w:sz w:val="32"/>
          <w:szCs w:val="32"/>
          <w:lang w:val="en-US" w:eastAsia="zh-CN"/>
        </w:rPr>
        <w:t>11.47万元</w:t>
      </w:r>
      <w:r>
        <w:rPr>
          <w:rFonts w:hint="eastAsia" w:ascii="仿宋" w:hAnsi="仿宋" w:eastAsia="仿宋"/>
          <w:color w:val="000000"/>
          <w:sz w:val="32"/>
          <w:szCs w:val="32"/>
        </w:rPr>
        <w:t>、公务用车运行维护费</w:t>
      </w:r>
      <w:r>
        <w:rPr>
          <w:rFonts w:hint="eastAsia" w:ascii="仿宋" w:hAnsi="仿宋" w:eastAsia="仿宋"/>
          <w:color w:val="000000"/>
          <w:sz w:val="32"/>
          <w:szCs w:val="32"/>
          <w:lang w:val="en-US" w:eastAsia="zh-CN"/>
        </w:rPr>
        <w:t>22.18</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80.81万元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其他商品和服务支出</w:t>
      </w:r>
      <w:r>
        <w:rPr>
          <w:rFonts w:hint="eastAsia" w:ascii="仿宋" w:hAnsi="仿宋" w:eastAsia="仿宋"/>
          <w:color w:val="000000"/>
          <w:sz w:val="32"/>
          <w:szCs w:val="32"/>
          <w:lang w:val="en-US" w:eastAsia="zh-CN"/>
        </w:rPr>
        <w:t>18.84万元。</w:t>
      </w:r>
    </w:p>
    <w:p>
      <w:pPr>
        <w:pageBreakBefore w:val="0"/>
        <w:kinsoku/>
        <w:wordWrap/>
        <w:overflowPunct/>
        <w:topLinePunct w:val="0"/>
        <w:bidi w:val="0"/>
        <w:spacing w:line="578"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pageBreakBefore w:val="0"/>
        <w:kinsoku/>
        <w:wordWrap/>
        <w:overflowPunct/>
        <w:topLinePunct w:val="0"/>
        <w:bidi w:val="0"/>
        <w:spacing w:line="578"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pageBreakBefore w:val="0"/>
        <w:kinsoku/>
        <w:wordWrap/>
        <w:overflowPunct/>
        <w:topLinePunct w:val="0"/>
        <w:bidi w:val="0"/>
        <w:snapToGrid w:val="0"/>
        <w:spacing w:line="578" w:lineRule="exact"/>
        <w:ind w:firstLine="640" w:firstLineChars="200"/>
        <w:rPr>
          <w:rStyle w:val="15"/>
          <w:rFonts w:hint="eastAsia" w:ascii="仿宋" w:hAnsi="仿宋" w:eastAsia="仿宋"/>
          <w:b w:val="0"/>
          <w:bCs/>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144.24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与预算数持平</w:t>
      </w:r>
      <w:r>
        <w:rPr>
          <w:rStyle w:val="15"/>
          <w:rFonts w:hint="eastAsia" w:ascii="仿宋" w:hAnsi="仿宋" w:eastAsia="仿宋"/>
          <w:b w:val="0"/>
          <w:bCs/>
          <w:color w:val="000000"/>
          <w:sz w:val="32"/>
          <w:szCs w:val="32"/>
        </w:rPr>
        <w:t>。</w:t>
      </w:r>
    </w:p>
    <w:p>
      <w:pPr>
        <w:pageBreakBefore w:val="0"/>
        <w:kinsoku/>
        <w:wordWrap/>
        <w:overflowPunct/>
        <w:topLinePunct w:val="0"/>
        <w:bidi w:val="0"/>
        <w:spacing w:line="578"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pageBreakBefore w:val="0"/>
        <w:kinsoku/>
        <w:wordWrap/>
        <w:overflowPunct/>
        <w:topLinePunct w:val="0"/>
        <w:bidi w:val="0"/>
        <w:spacing w:line="578"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139.24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96.53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3.47</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pacing w:line="578" w:lineRule="exac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839470</wp:posOffset>
            </wp:positionH>
            <wp:positionV relativeFrom="paragraph">
              <wp:posOffset>81280</wp:posOffset>
            </wp:positionV>
            <wp:extent cx="3870960" cy="2600325"/>
            <wp:effectExtent l="4445" t="4445" r="10795" b="508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kinsoku/>
        <w:wordWrap/>
        <w:overflowPunct/>
        <w:topLinePunct w:val="0"/>
        <w:bidi w:val="0"/>
        <w:spacing w:line="578" w:lineRule="exact"/>
        <w:ind w:firstLine="640"/>
        <w:rPr>
          <w:rFonts w:hint="eastAsia" w:ascii="仿宋_GB2312" w:eastAsia="仿宋"/>
          <w:b/>
          <w:color w:val="000000"/>
          <w:sz w:val="32"/>
          <w:szCs w:val="32"/>
          <w:lang w:eastAsia="zh-CN"/>
        </w:rPr>
      </w:pPr>
      <w:r>
        <w:rPr>
          <w:rFonts w:hint="eastAsia" w:ascii="仿宋" w:hAnsi="仿宋" w:eastAsia="仿宋"/>
          <w:color w:val="000000"/>
          <w:sz w:val="32"/>
          <w:szCs w:val="32"/>
        </w:rPr>
        <w:t>图7：“三公”经费财政拨款支出结构</w:t>
      </w:r>
    </w:p>
    <w:p>
      <w:pPr>
        <w:pageBreakBefore w:val="0"/>
        <w:kinsoku/>
        <w:wordWrap/>
        <w:overflowPunct/>
        <w:topLinePunct w:val="0"/>
        <w:bidi w:val="0"/>
        <w:spacing w:line="578" w:lineRule="exact"/>
        <w:ind w:firstLine="321" w:firstLineChars="100"/>
        <w:rPr>
          <w:rFonts w:ascii="仿宋_GB2312" w:eastAsia="仿宋_GB2312"/>
          <w:b/>
          <w:color w:val="000000"/>
          <w:sz w:val="32"/>
          <w:szCs w:val="32"/>
        </w:rPr>
      </w:pPr>
    </w:p>
    <w:p>
      <w:pPr>
        <w:pageBreakBefore w:val="0"/>
        <w:kinsoku/>
        <w:wordWrap/>
        <w:overflowPunct/>
        <w:topLinePunct w:val="0"/>
        <w:bidi w:val="0"/>
        <w:spacing w:line="578"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，比去年相比持平</w:t>
      </w:r>
      <w:bookmarkStart w:id="73" w:name="_GoBack"/>
      <w:bookmarkEnd w:id="73"/>
      <w:r>
        <w:rPr>
          <w:rFonts w:hint="eastAsia" w:ascii="仿宋_GB2312" w:eastAsia="仿宋_GB2312"/>
          <w:color w:val="000000"/>
          <w:sz w:val="32"/>
          <w:szCs w:val="32"/>
          <w:lang w:eastAsia="zh-CN"/>
        </w:rPr>
        <w:t>。全年安排因公出国（境）团组0次，出国（境）0人。</w:t>
      </w:r>
    </w:p>
    <w:p>
      <w:pPr>
        <w:pageBreakBefore w:val="0"/>
        <w:kinsoku/>
        <w:wordWrap/>
        <w:overflowPunct/>
        <w:topLinePunct w:val="0"/>
        <w:bidi w:val="0"/>
        <w:spacing w:line="578" w:lineRule="exact"/>
        <w:ind w:firstLine="640"/>
        <w:rPr>
          <w:rFonts w:hint="default" w:ascii="仿宋_GB2312" w:eastAsia="仿宋_GB2312"/>
          <w:color w:val="000000"/>
          <w:sz w:val="32"/>
          <w:szCs w:val="32"/>
          <w:lang w:val="en-US"/>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139.24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，公务用车购置及运行维护费支出决算比201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lang w:eastAsia="zh-CN"/>
        </w:rPr>
        <w:t>年增加</w:t>
      </w:r>
      <w:r>
        <w:rPr>
          <w:rFonts w:hint="eastAsia" w:ascii="仿宋_GB2312" w:eastAsia="仿宋_GB2312"/>
          <w:color w:val="000000"/>
          <w:sz w:val="32"/>
          <w:szCs w:val="32"/>
          <w:lang w:val="en-US" w:eastAsia="zh-CN"/>
        </w:rPr>
        <w:t>16.7</w:t>
      </w:r>
      <w:r>
        <w:rPr>
          <w:rFonts w:hint="eastAsia" w:ascii="仿宋_GB2312" w:eastAsia="仿宋_GB2312"/>
          <w:color w:val="000000"/>
          <w:sz w:val="32"/>
          <w:szCs w:val="32"/>
          <w:lang w:eastAsia="zh-CN"/>
        </w:rPr>
        <w:t>万元，增长</w:t>
      </w:r>
      <w:r>
        <w:rPr>
          <w:rFonts w:hint="eastAsia" w:ascii="仿宋_GB2312" w:eastAsia="仿宋_GB2312"/>
          <w:color w:val="000000"/>
          <w:sz w:val="32"/>
          <w:szCs w:val="32"/>
          <w:lang w:val="en-US" w:eastAsia="zh-CN"/>
        </w:rPr>
        <w:t>13.62</w:t>
      </w:r>
      <w:r>
        <w:rPr>
          <w:rFonts w:hint="eastAsia" w:ascii="仿宋_GB2312" w:eastAsia="仿宋_GB2312"/>
          <w:color w:val="000000"/>
          <w:sz w:val="32"/>
          <w:szCs w:val="32"/>
          <w:lang w:eastAsia="zh-CN"/>
        </w:rPr>
        <w:t>%。增长原因主要为</w:t>
      </w:r>
      <w:r>
        <w:rPr>
          <w:rFonts w:hint="eastAsia" w:ascii="仿宋_GB2312" w:eastAsia="仿宋_GB2312"/>
          <w:color w:val="000000"/>
          <w:sz w:val="32"/>
          <w:szCs w:val="32"/>
          <w:lang w:val="en-US" w:eastAsia="zh-CN"/>
        </w:rPr>
        <w:t>2019年新增巡回审判车，价格较高。</w:t>
      </w:r>
    </w:p>
    <w:p>
      <w:pPr>
        <w:pStyle w:val="2"/>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其中：公务用车购置支出89.94万元。比2018年增加17.4万元，增长23.98%。全年按规定更新购置公务用车3辆，其中：轿车3辆、金额41.8万元，巡回审判车1辆、金额48.14万元，主要用于日常办案。截至2019年12月底，单位共有公务用车21辆，其中：轿车13辆、越野车5辆、载客汽车2辆、巡回审判车1辆。</w:t>
      </w:r>
    </w:p>
    <w:p>
      <w:pPr>
        <w:pStyle w:val="2"/>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公务用车运行维护费支出49.3万元。比2018年减少0.7万元，降低1.42%。主要用于案件审判、案件执行等所需的公务用车燃料费、维修费、过路过桥费、保险费、停车洗车费等支出。</w:t>
      </w:r>
    </w:p>
    <w:p>
      <w:pPr>
        <w:pageBreakBefore w:val="0"/>
        <w:kinsoku/>
        <w:wordWrap/>
        <w:overflowPunct/>
        <w:topLinePunct w:val="0"/>
        <w:bidi w:val="0"/>
        <w:spacing w:line="578"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pageBreakBefore w:val="0"/>
        <w:kinsoku/>
        <w:wordWrap/>
        <w:overflowPunct/>
        <w:topLinePunct w:val="0"/>
        <w:bidi w:val="0"/>
        <w:spacing w:line="578" w:lineRule="exact"/>
        <w:ind w:firstLine="640"/>
        <w:rPr>
          <w:rFonts w:hint="eastAsia" w:ascii="黑体" w:eastAsia="黑体"/>
          <w:color w:val="000000"/>
          <w:sz w:val="32"/>
          <w:szCs w:val="32"/>
        </w:rPr>
      </w:pPr>
      <w:r>
        <w:rPr>
          <w:rFonts w:hint="eastAsia" w:ascii="仿宋_GB2312" w:eastAsia="仿宋_GB2312"/>
          <w:color w:val="000000"/>
          <w:sz w:val="32"/>
          <w:szCs w:val="32"/>
          <w:lang w:eastAsia="zh-CN"/>
        </w:rPr>
        <w:t>其中：</w:t>
      </w: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5</w:t>
      </w:r>
      <w:r>
        <w:rPr>
          <w:rFonts w:hint="eastAsia" w:ascii="仿宋_GB2312" w:eastAsia="仿宋_GB2312"/>
          <w:color w:val="000000"/>
          <w:sz w:val="32"/>
          <w:szCs w:val="32"/>
        </w:rPr>
        <w:t>万元，主要用于要用于执行公务、开展业务活动开支的交通费、住宿费、用餐费等。国内公务接待</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500</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pageBreakBefore w:val="0"/>
        <w:kinsoku/>
        <w:wordWrap/>
        <w:overflowPunct/>
        <w:topLinePunct w:val="0"/>
        <w:bidi w:val="0"/>
        <w:spacing w:line="578"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6" w:name="_Toc15396610"/>
      <w:bookmarkStart w:id="47" w:name="_Toc15377218"/>
    </w:p>
    <w:p>
      <w:pPr>
        <w:pageBreakBefore w:val="0"/>
        <w:kinsoku/>
        <w:wordWrap/>
        <w:overflowPunct/>
        <w:topLinePunct w:val="0"/>
        <w:bidi w:val="0"/>
        <w:spacing w:line="578"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pageBreakBefore w:val="0"/>
        <w:kinsoku/>
        <w:wordWrap/>
        <w:overflowPunct/>
        <w:topLinePunct w:val="0"/>
        <w:bidi w:val="0"/>
        <w:spacing w:line="578"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211.17</w:t>
      </w:r>
      <w:r>
        <w:rPr>
          <w:rFonts w:hint="eastAsia" w:ascii="仿宋_GB2312" w:eastAsia="仿宋_GB2312"/>
          <w:color w:val="000000"/>
          <w:sz w:val="32"/>
          <w:szCs w:val="32"/>
        </w:rPr>
        <w:t>万元。</w:t>
      </w:r>
    </w:p>
    <w:p>
      <w:pPr>
        <w:pageBreakBefore w:val="0"/>
        <w:numPr>
          <w:ilvl w:val="0"/>
          <w:numId w:val="4"/>
        </w:numPr>
        <w:kinsoku/>
        <w:wordWrap/>
        <w:overflowPunct/>
        <w:topLinePunct w:val="0"/>
        <w:bidi w:val="0"/>
        <w:spacing w:line="578"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pageBreakBefore w:val="0"/>
        <w:kinsoku/>
        <w:wordWrap/>
        <w:overflowPunct/>
        <w:topLinePunct w:val="0"/>
        <w:bidi w:val="0"/>
        <w:spacing w:line="578"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78"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pageBreakBefore w:val="0"/>
        <w:kinsoku/>
        <w:wordWrap/>
        <w:overflowPunct/>
        <w:topLinePunct w:val="0"/>
        <w:bidi w:val="0"/>
        <w:spacing w:line="578"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pageBreakBefore w:val="0"/>
        <w:kinsoku/>
        <w:wordWrap/>
        <w:overflowPunct/>
        <w:topLinePunct w:val="0"/>
        <w:bidi w:val="0"/>
        <w:spacing w:line="578" w:lineRule="exact"/>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371.71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207.71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79.48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val="en-US" w:eastAsia="zh-CN"/>
        </w:rPr>
        <w:t>2019年本年工作量增加，办公费增加。</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pageBreakBefore w:val="0"/>
        <w:kinsoku/>
        <w:wordWrap/>
        <w:overflowPunct/>
        <w:topLinePunct w:val="0"/>
        <w:bidi w:val="0"/>
        <w:spacing w:line="578"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85.83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85.83</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万元。</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pageBreakBefore w:val="0"/>
        <w:kinsoku/>
        <w:wordWrap/>
        <w:overflowPunct/>
        <w:topLinePunct w:val="0"/>
        <w:autoSpaceDE w:val="0"/>
        <w:autoSpaceDN w:val="0"/>
        <w:bidi w:val="0"/>
        <w:adjustRightInd w:val="0"/>
        <w:spacing w:line="578" w:lineRule="exact"/>
        <w:ind w:firstLine="640" w:firstLineChars="200"/>
        <w:jc w:val="left"/>
        <w:rPr>
          <w:rFonts w:hint="eastAsia" w:ascii="仿宋" w:hAnsi="仿宋" w:eastAsia="仿宋_GB2312"/>
          <w:b/>
          <w:color w:val="FF0000"/>
          <w:sz w:val="32"/>
          <w:szCs w:val="32"/>
          <w:lang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pageBreakBefore w:val="0"/>
        <w:kinsoku/>
        <w:wordWrap/>
        <w:overflowPunct/>
        <w:topLinePunct w:val="0"/>
        <w:autoSpaceDE w:val="0"/>
        <w:autoSpaceDN w:val="0"/>
        <w:bidi w:val="0"/>
        <w:adjustRightInd w:val="0"/>
        <w:spacing w:line="578"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ageBreakBefore w:val="0"/>
        <w:kinsoku/>
        <w:wordWrap/>
        <w:overflowPunct/>
        <w:topLinePunct w:val="0"/>
        <w:bidi w:val="0"/>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eastAsia="仿宋_GB2312"/>
          <w:color w:val="000000"/>
          <w:sz w:val="32"/>
          <w:szCs w:val="32"/>
        </w:rPr>
        <w:t>“普法宣传、扫黑除恶”</w:t>
      </w:r>
      <w:r>
        <w:rPr>
          <w:rFonts w:hint="eastAsia" w:ascii="仿宋_GB2312" w:hAnsi="仿宋_GB2312" w:eastAsia="仿宋_GB2312" w:cs="仿宋_GB2312"/>
          <w:sz w:val="32"/>
          <w:szCs w:val="32"/>
        </w:rPr>
        <w:t>项目开展了预算事前绩效评估，编制了绩效目标，预算执行过程中，选取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pageBreakBefore w:val="0"/>
        <w:kinsoku/>
        <w:wordWrap/>
        <w:overflowPunct/>
        <w:topLinePunct w:val="0"/>
        <w:bidi w:val="0"/>
        <w:spacing w:line="578" w:lineRule="exact"/>
        <w:ind w:firstLine="640" w:firstLineChars="200"/>
        <w:jc w:val="left"/>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认真履行宪法和法律赋予的职责，积极推进依法治国的进程；依法打击犯罪、严惩严重犯罪，依法调节民商事关系，监督和支持行政机关依法行政，维护广大人民群众的根本利益。</w:t>
      </w:r>
    </w:p>
    <w:p>
      <w:pPr>
        <w:pageBreakBefore w:val="0"/>
        <w:numPr>
          <w:ilvl w:val="0"/>
          <w:numId w:val="0"/>
        </w:numPr>
        <w:kinsoku/>
        <w:wordWrap/>
        <w:overflowPunct/>
        <w:topLinePunct w:val="0"/>
        <w:bidi w:val="0"/>
        <w:spacing w:line="578"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eastAsia="仿宋_GB2312"/>
          <w:color w:val="000000"/>
          <w:sz w:val="32"/>
          <w:szCs w:val="32"/>
        </w:rPr>
        <w:t>“普法宣传、扫黑除恶</w:t>
      </w:r>
      <w:r>
        <w:rPr>
          <w:rFonts w:hint="eastAsia" w:eastAsia="仿宋_GB2312"/>
          <w:color w:val="000000"/>
          <w:sz w:val="32"/>
          <w:szCs w:val="32"/>
          <w:lang w:eastAsia="zh-CN"/>
        </w:rPr>
        <w:t>”</w:t>
      </w:r>
      <w:r>
        <w:rPr>
          <w:rFonts w:hint="eastAsia" w:ascii="仿宋_GB2312" w:hAnsi="仿宋_GB2312" w:eastAsia="仿宋_GB2312" w:cs="仿宋_GB2312"/>
          <w:sz w:val="32"/>
          <w:szCs w:val="32"/>
        </w:rPr>
        <w:t>项目绩效目标实际完成情况。</w:t>
      </w:r>
    </w:p>
    <w:p>
      <w:pPr>
        <w:pageBreakBefore w:val="0"/>
        <w:kinsoku/>
        <w:wordWrap/>
        <w:overflowPunct/>
        <w:topLinePunct w:val="0"/>
        <w:bidi w:val="0"/>
        <w:spacing w:line="578"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eastAsia="仿宋_GB2312"/>
          <w:color w:val="000000"/>
          <w:sz w:val="32"/>
          <w:szCs w:val="32"/>
        </w:rPr>
        <w:t>“普法宣传、扫黑除恶”</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%。通过项目实施，通过项目实施，</w:t>
      </w:r>
      <w:r>
        <w:rPr>
          <w:rFonts w:hint="eastAsia" w:ascii="仿宋_GB2312" w:hAnsi="仿宋_GB2312" w:eastAsia="仿宋_GB2312" w:cs="仿宋_GB2312"/>
          <w:sz w:val="32"/>
          <w:szCs w:val="32"/>
          <w:lang w:val="en-US" w:eastAsia="zh-CN"/>
        </w:rPr>
        <w:t xml:space="preserve">法治精神深入人心，工作进入法治化轨道，提升了“法制精神”。                           </w:t>
      </w:r>
    </w:p>
    <w:tbl>
      <w:tblPr>
        <w:tblStyle w:val="13"/>
        <w:tblpPr w:leftFromText="180" w:rightFromText="180" w:vertAnchor="text" w:horzAnchor="page" w:tblpX="982" w:tblpY="245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普法宣传、扫黑除恶</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泸县人民法院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8"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8"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8"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66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8"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lang w:eastAsia="zh-CN"/>
              </w:rPr>
              <w:t>法治精神深入人心，工作进入法治化轨道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lang w:eastAsia="zh-CN"/>
              </w:rPr>
              <w:t>提升“法制精神”</w:t>
            </w:r>
          </w:p>
        </w:tc>
      </w:tr>
      <w:tr>
        <w:tblPrEx>
          <w:tblCellMar>
            <w:top w:w="0" w:type="dxa"/>
            <w:left w:w="0" w:type="dxa"/>
            <w:bottom w:w="0" w:type="dxa"/>
            <w:right w:w="0" w:type="dxa"/>
          </w:tblCellMar>
        </w:tblPrEx>
        <w:trPr>
          <w:trHeight w:val="1066"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3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开展法制宣传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lang w:eastAsia="zh-CN"/>
              </w:rPr>
              <w:t>建设法治文化阵地，宣传室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lang w:val="en-US" w:eastAsia="zh-CN"/>
              </w:rPr>
              <w:t>建成法制文化宣传室</w:t>
            </w:r>
          </w:p>
        </w:tc>
      </w:tr>
      <w:tr>
        <w:tblPrEx>
          <w:tblCellMar>
            <w:top w:w="0" w:type="dxa"/>
            <w:left w:w="0" w:type="dxa"/>
            <w:bottom w:w="0" w:type="dxa"/>
            <w:right w:w="0" w:type="dxa"/>
          </w:tblCellMar>
        </w:tblPrEx>
        <w:trPr>
          <w:trHeight w:val="11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rPr>
              <w:t>法律宣传教育</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r>
              <w:rPr>
                <w:rFonts w:hint="eastAsia" w:ascii="宋体" w:hAnsi="宋体" w:cs="宋体"/>
                <w:color w:val="000000"/>
                <w:sz w:val="24"/>
              </w:rPr>
              <w:t>法律宣传教育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印制资料、购买书籍，加大宣传力度</w:t>
            </w:r>
          </w:p>
        </w:tc>
      </w:tr>
      <w:tr>
        <w:tblPrEx>
          <w:tblCellMar>
            <w:top w:w="0" w:type="dxa"/>
            <w:left w:w="0" w:type="dxa"/>
            <w:bottom w:w="0" w:type="dxa"/>
            <w:right w:w="0" w:type="dxa"/>
          </w:tblCellMar>
        </w:tblPrEx>
        <w:trPr>
          <w:trHeight w:val="98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cs="宋体"/>
                <w:color w:val="000000"/>
                <w:sz w:val="24"/>
              </w:rPr>
            </w:pPr>
            <w:r>
              <w:rPr>
                <w:rFonts w:hint="eastAsia" w:ascii="宋体" w:hAnsi="宋体" w:cs="宋体"/>
                <w:color w:val="000000"/>
                <w:sz w:val="24"/>
              </w:rPr>
              <w:t>社会效益</w:t>
            </w:r>
          </w:p>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促进</w:t>
            </w:r>
            <w:r>
              <w:rPr>
                <w:rFonts w:hint="eastAsia" w:ascii="宋体" w:hAnsi="宋体" w:cs="宋体"/>
                <w:color w:val="000000"/>
                <w:sz w:val="24"/>
                <w:lang w:eastAsia="zh-CN"/>
              </w:rPr>
              <w:t>法制宣传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法治精神深入人心，工作进入法治化轨道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提升法制精神</w:t>
            </w:r>
          </w:p>
        </w:tc>
      </w:tr>
      <w:tr>
        <w:tblPrEx>
          <w:tblCellMar>
            <w:top w:w="0" w:type="dxa"/>
            <w:left w:w="0" w:type="dxa"/>
            <w:bottom w:w="0" w:type="dxa"/>
            <w:right w:w="0" w:type="dxa"/>
          </w:tblCellMar>
        </w:tblPrEx>
        <w:trPr>
          <w:trHeight w:val="157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hint="eastAsia" w:ascii="宋体" w:hAnsi="宋体" w:cs="宋体"/>
                <w:color w:val="000000"/>
                <w:sz w:val="24"/>
              </w:rPr>
            </w:pPr>
            <w:r>
              <w:rPr>
                <w:rFonts w:hint="eastAsia" w:ascii="宋体" w:hAnsi="宋体" w:cs="宋体"/>
                <w:color w:val="000000"/>
                <w:sz w:val="24"/>
              </w:rPr>
              <w:t>服务对象</w:t>
            </w:r>
          </w:p>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w:t>
            </w:r>
            <w:r>
              <w:rPr>
                <w:rFonts w:hint="eastAsia" w:ascii="宋体" w:hAnsi="宋体" w:cs="宋体"/>
                <w:color w:val="000000"/>
                <w:sz w:val="24"/>
                <w:lang w:val="en-US" w:eastAsia="zh-CN"/>
              </w:rPr>
              <w:t>99</w:t>
            </w:r>
            <w:r>
              <w:rPr>
                <w:rFonts w:hint="eastAsia" w:ascii="宋体" w:hAns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8"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w:t>
            </w:r>
            <w:r>
              <w:rPr>
                <w:rFonts w:hint="eastAsia" w:ascii="宋体" w:hAnsi="宋体" w:cs="宋体"/>
                <w:color w:val="000000"/>
                <w:sz w:val="24"/>
                <w:lang w:val="en-US" w:eastAsia="zh-CN"/>
              </w:rPr>
              <w:t>99</w:t>
            </w:r>
            <w:r>
              <w:rPr>
                <w:rFonts w:hint="eastAsia" w:ascii="宋体" w:hAnsi="宋体" w:cs="宋体"/>
                <w:color w:val="000000"/>
                <w:sz w:val="24"/>
              </w:rPr>
              <w:t>%</w:t>
            </w:r>
          </w:p>
        </w:tc>
      </w:tr>
    </w:tbl>
    <w:p>
      <w:pPr>
        <w:pageBreakBefore w:val="0"/>
        <w:kinsoku/>
        <w:wordWrap/>
        <w:overflowPunct/>
        <w:topLinePunct w:val="0"/>
        <w:bidi w:val="0"/>
        <w:spacing w:line="578"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ageBreakBefore w:val="0"/>
        <w:kinsoku/>
        <w:wordWrap/>
        <w:overflowPunct/>
        <w:topLinePunct w:val="0"/>
        <w:bidi w:val="0"/>
        <w:spacing w:line="578" w:lineRule="exact"/>
        <w:ind w:firstLine="640" w:firstLineChars="200"/>
        <w:rPr>
          <w:rFonts w:hint="eastAsia" w:ascii="黑体" w:hAnsi="黑体" w:eastAsia="黑体"/>
          <w:color w:val="000000"/>
          <w:sz w:val="44"/>
          <w:szCs w:val="44"/>
          <w:lang w:val="en-US" w:eastAsia="zh-CN"/>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泸县人民法院</w:t>
      </w:r>
      <w:r>
        <w:rPr>
          <w:rFonts w:hint="eastAsia" w:ascii="仿宋_GB2312" w:hAnsi="仿宋_GB2312" w:eastAsia="仿宋_GB2312" w:cs="仿宋_GB2312"/>
          <w:sz w:val="32"/>
          <w:szCs w:val="32"/>
        </w:rPr>
        <w:t>2019年部门整体支出绩效评价报告》见附件（附件1）。本部门自行组织对</w:t>
      </w:r>
      <w:r>
        <w:rPr>
          <w:rFonts w:hint="eastAsia" w:eastAsia="仿宋_GB2312"/>
          <w:color w:val="000000"/>
          <w:sz w:val="32"/>
          <w:szCs w:val="32"/>
        </w:rPr>
        <w:t>“</w:t>
      </w:r>
      <w:r>
        <w:rPr>
          <w:rFonts w:hint="eastAsia" w:eastAsia="仿宋_GB2312"/>
          <w:color w:val="000000"/>
          <w:sz w:val="32"/>
          <w:szCs w:val="32"/>
          <w:lang w:eastAsia="zh-CN"/>
        </w:rPr>
        <w:t>普法宣传、扫黑除恶</w:t>
      </w:r>
      <w:r>
        <w:rPr>
          <w:rFonts w:hint="eastAsia" w:eastAsia="仿宋_GB2312"/>
          <w:color w:val="000000"/>
          <w:sz w:val="32"/>
          <w:szCs w:val="32"/>
        </w:rPr>
        <w:t>”</w:t>
      </w:r>
      <w:r>
        <w:rPr>
          <w:rFonts w:hint="eastAsia" w:eastAsia="仿宋_GB2312"/>
          <w:color w:val="000000"/>
          <w:sz w:val="32"/>
          <w:szCs w:val="32"/>
          <w:lang w:eastAsia="zh-CN"/>
        </w:rPr>
        <w:t>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w:t>
      </w:r>
      <w:bookmarkStart w:id="55" w:name="_Toc15396613"/>
      <w:bookmarkStart w:id="56" w:name="_Toc15377225"/>
    </w:p>
    <w:p>
      <w:pPr>
        <w:pageBreakBefore w:val="0"/>
        <w:numPr>
          <w:ilvl w:val="0"/>
          <w:numId w:val="0"/>
        </w:numPr>
        <w:kinsoku/>
        <w:wordWrap/>
        <w:overflowPunct/>
        <w:topLinePunct w:val="0"/>
        <w:bidi w:val="0"/>
        <w:spacing w:line="578" w:lineRule="exact"/>
        <w:jc w:val="center"/>
        <w:outlineLvl w:val="0"/>
        <w:rPr>
          <w:rFonts w:hint="eastAsia" w:ascii="黑体" w:hAnsi="黑体" w:eastAsia="黑体"/>
          <w:color w:val="000000"/>
          <w:sz w:val="44"/>
          <w:szCs w:val="44"/>
          <w:lang w:val="en-US" w:eastAsia="zh-CN"/>
        </w:rPr>
      </w:pPr>
    </w:p>
    <w:p>
      <w:pPr>
        <w:pageBreakBefore w:val="0"/>
        <w:numPr>
          <w:ilvl w:val="0"/>
          <w:numId w:val="0"/>
        </w:numPr>
        <w:kinsoku/>
        <w:wordWrap/>
        <w:overflowPunct/>
        <w:topLinePunct w:val="0"/>
        <w:bidi w:val="0"/>
        <w:spacing w:line="578" w:lineRule="exact"/>
        <w:jc w:val="center"/>
        <w:outlineLvl w:val="0"/>
        <w:rPr>
          <w:rStyle w:val="25"/>
          <w:rFonts w:ascii="黑体" w:hAnsi="黑体" w:eastAsia="黑体"/>
          <w:b w:val="0"/>
        </w:rPr>
      </w:pPr>
      <w:r>
        <w:rPr>
          <w:rFonts w:hint="eastAsia" w:ascii="黑体" w:hAnsi="黑体" w:eastAsia="黑体"/>
          <w:color w:val="000000"/>
          <w:sz w:val="44"/>
          <w:szCs w:val="44"/>
          <w:lang w:val="en-US" w:eastAsia="zh-CN"/>
        </w:rPr>
        <w:t xml:space="preserve">第三部分  </w:t>
      </w:r>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pageBreakBefore w:val="0"/>
        <w:kinsoku/>
        <w:wordWrap/>
        <w:overflowPunct/>
        <w:topLinePunct w:val="0"/>
        <w:bidi w:val="0"/>
        <w:spacing w:line="578" w:lineRule="exact"/>
        <w:jc w:val="left"/>
        <w:rPr>
          <w:rFonts w:ascii="宋体"/>
          <w:b/>
          <w:color w:val="000000"/>
          <w:sz w:val="44"/>
          <w:szCs w:val="44"/>
        </w:rPr>
      </w:pP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bookmarkStart w:id="57" w:name="_Toc15396614"/>
      <w:bookmarkStart w:id="58" w:name="_Toc15377226"/>
      <w:r>
        <w:rPr>
          <w:rFonts w:hint="eastAsia" w:ascii="仿宋_GB2312" w:hAnsi="仿宋_GB2312" w:eastAsia="仿宋_GB2312" w:cs="仿宋_GB2312"/>
          <w:color w:val="auto"/>
          <w:kern w:val="2"/>
          <w:sz w:val="32"/>
          <w:szCs w:val="32"/>
          <w:lang w:val="en-US" w:eastAsia="zh-CN" w:bidi="ar-SA"/>
        </w:rPr>
        <w:t>1.财政拨款收入：指单位从同级财政部门取得的财政预算资金。</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2.事业收入：指事业单位开展专业业务活动及辅助活动取得的收入。</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3.经营收入：指事业单位在专业业务活动及其辅助活动之外开展非独立核算经营活动取得的收入。</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4.其他收入：指单位取得的除上述收入以外的各项收入。 </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6.年初结转和结余：指以前年度尚未完成、结转到本年按有关规定继续使用的资金。 </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7.结余分配：指事业单位按照事业单位会计制度的规定从非财政补助结余中分配的事业基金和职工福利基金等。</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8.年末结转和结余：指单位按有关规定结转到下年或以后年度继续使用的资金。</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9.公共安全支出（类）法院（款）行政运行（项）（2040501）: 指行政单位的基本支出。</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10.公共安全支出（类）法院（款）一般行政管理事务（项）（2040502）: 指行政单位未单独设置项级科目的其他项目支出。</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11.公共安全支出（类）法院（款）案件审判（项）（2040504）:指法院用于案件审判方面的支出。</w:t>
      </w:r>
    </w:p>
    <w:p>
      <w:pPr>
        <w:pageBreakBefore w:val="0"/>
        <w:kinsoku/>
        <w:wordWrap/>
        <w:overflowPunct/>
        <w:topLinePunct w:val="0"/>
        <w:bidi w:val="0"/>
        <w:spacing w:line="578" w:lineRule="exact"/>
        <w:ind w:firstLine="640" w:firstLineChars="200"/>
        <w:rPr>
          <w:rFonts w:hint="eastAsia"/>
          <w:lang w:val="en-US" w:eastAsia="zh-CN"/>
        </w:rPr>
      </w:pPr>
      <w:r>
        <w:rPr>
          <w:rFonts w:hint="eastAsia" w:ascii="仿宋_GB2312" w:hAnsi="仿宋_GB2312" w:eastAsia="仿宋_GB2312" w:cs="仿宋_GB2312"/>
          <w:color w:val="auto"/>
          <w:kern w:val="2"/>
          <w:sz w:val="32"/>
          <w:szCs w:val="32"/>
          <w:lang w:val="en-US" w:eastAsia="zh-CN" w:bidi="ar-SA"/>
        </w:rPr>
        <w:t>12.公共安全支出（类）法院（款）案件执行（项）（2040505）:指法院用于案件执行方面的支出。</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13.社会保障和就业支出（类）行政事业单位离退休（款）机关事业单位基本养老保险缴费支出（项）（2080505）：指机关事业单位实施养老保险制度由单位缴纳的基本养老保险支出。</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14.社会保障和就业支出（类）抚恤（款）死亡抚恤（项）（2080801）：指按规定用于烈士和牺牲、病故人员家属的一次性和定期抚恤金以及丧葬补助费用。</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15.医疗卫生与计划生育（类）行政事业单位医疗（款）行政单位医疗（项）（2101101）：指财政部门集中安排的行政单位基本医疗保险缴费经费。</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16.住房保障支出（类）住房改革支出（款）住房公积金（项）（2210201）：指行政事业单位按人力资源和社会保障部、财政部规定的基本工资和津贴补贴以及规定比例为职工缴纳的住房公积金。</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17.基本支出：指为保障机构正常运转、完成日常工作任务而发生的人员支出和公用支出。</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18.项目支出：指在基本支出之外为完成特定行政任务和事业发展目标所发生的支出。 </w:t>
      </w:r>
    </w:p>
    <w:p>
      <w:pPr>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19.经营支出：指事业单位在专业业务活动及其辅助活动之外开展非独立核算经营活动发生的支出。</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78"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ageBreakBefore w:val="0"/>
        <w:kinsoku/>
        <w:wordWrap/>
        <w:overflowPunct/>
        <w:topLinePunct w:val="0"/>
        <w:bidi w:val="0"/>
        <w:spacing w:line="578"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outlineLvl w:val="0"/>
        <w:rPr>
          <w:rFonts w:hint="eastAsia" w:ascii="黑体" w:hAnsi="黑体" w:eastAsia="黑体"/>
          <w:color w:val="000000"/>
          <w:sz w:val="44"/>
          <w:szCs w:val="44"/>
        </w:rPr>
      </w:pPr>
    </w:p>
    <w:p>
      <w:pPr>
        <w:pageBreakBefore w:val="0"/>
        <w:kinsoku/>
        <w:wordWrap/>
        <w:overflowPunct/>
        <w:topLinePunct w:val="0"/>
        <w:bidi w:val="0"/>
        <w:spacing w:line="578"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pageBreakBefore w:val="0"/>
        <w:kinsoku/>
        <w:wordWrap/>
        <w:overflowPunct/>
        <w:topLinePunct w:val="0"/>
        <w:bidi w:val="0"/>
        <w:spacing w:line="578"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pageBreakBefore w:val="0"/>
        <w:kinsoku/>
        <w:wordWrap/>
        <w:overflowPunct/>
        <w:topLinePunct w:val="0"/>
        <w:bidi w:val="0"/>
        <w:spacing w:line="578" w:lineRule="exact"/>
        <w:jc w:val="center"/>
        <w:rPr>
          <w:rFonts w:ascii="方正小标宋简体" w:hAnsi="方正小标宋简体" w:eastAsia="方正小标宋简体" w:cs="方正小标宋简体"/>
          <w:sz w:val="44"/>
          <w:szCs w:val="44"/>
        </w:rPr>
      </w:pPr>
    </w:p>
    <w:p>
      <w:pPr>
        <w:pageBreakBefore w:val="0"/>
        <w:kinsoku/>
        <w:wordWrap/>
        <w:overflowPunct/>
        <w:topLinePunct w:val="0"/>
        <w:bidi w:val="0"/>
        <w:spacing w:line="578"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泸县人民法院</w:t>
      </w:r>
    </w:p>
    <w:p>
      <w:pPr>
        <w:pageBreakBefore w:val="0"/>
        <w:kinsoku/>
        <w:wordWrap/>
        <w:overflowPunct/>
        <w:topLinePunct w:val="0"/>
        <w:bidi w:val="0"/>
        <w:spacing w:line="578"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pageBreakBefore w:val="0"/>
        <w:widowControl/>
        <w:kinsoku/>
        <w:wordWrap/>
        <w:overflowPunct/>
        <w:topLinePunct w:val="0"/>
        <w:bidi w:val="0"/>
        <w:spacing w:line="578"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578" w:lineRule="exact"/>
        <w:ind w:firstLine="480" w:firstLineChars="200"/>
        <w:contextualSpacing/>
        <w:jc w:val="left"/>
        <w:rPr>
          <w:rFonts w:ascii="黑体" w:hAnsi="宋体" w:eastAsia="黑体" w:cs="宋体"/>
          <w:color w:val="000000"/>
          <w:kern w:val="0"/>
          <w:sz w:val="24"/>
          <w:szCs w:val="32"/>
          <w:shd w:val="clear" w:color="auto" w:fill="FFFFFF"/>
        </w:rPr>
      </w:pP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ageBreakBefore w:val="0"/>
        <w:kinsoku/>
        <w:wordWrap/>
        <w:overflowPunct/>
        <w:topLinePunct w:val="0"/>
        <w:bidi w:val="0"/>
        <w:snapToGrid w:val="0"/>
        <w:spacing w:line="578"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 w:hAnsi="仿宋" w:eastAsia="仿宋" w:cs="仿宋_GB2312"/>
          <w:sz w:val="32"/>
          <w:szCs w:val="32"/>
        </w:rPr>
        <w:t>我院除机关外，为方便群众诉讼，另设有云龙、玄滩、牛滩、玄滩、太伏、云锦、潮河、加明等8个基层人民法庭。独立编制机构数1个，独立核算机构数1个，与2018年相比无变化。。</w:t>
      </w:r>
    </w:p>
    <w:p>
      <w:pPr>
        <w:pageBreakBefore w:val="0"/>
        <w:widowControl/>
        <w:numPr>
          <w:ilvl w:val="0"/>
          <w:numId w:val="5"/>
        </w:numPr>
        <w:kinsoku/>
        <w:wordWrap/>
        <w:overflowPunct/>
        <w:topLinePunct w:val="0"/>
        <w:bidi w:val="0"/>
        <w:adjustRightInd w:val="0"/>
        <w:snapToGrid w:val="0"/>
        <w:spacing w:line="578"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ageBreakBefore w:val="0"/>
        <w:kinsoku/>
        <w:wordWrap/>
        <w:overflowPunct/>
        <w:topLinePunct w:val="0"/>
        <w:bidi w:val="0"/>
        <w:snapToGrid w:val="0"/>
        <w:spacing w:line="578"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泸县人民法院是基层人民法院，作为国家的审判机关，根据《中华人民共和国宪法》和《中华人民共和国人民法院组织法》的规定，其承担的主要职能为：</w:t>
      </w:r>
    </w:p>
    <w:p>
      <w:pPr>
        <w:pageBreakBefore w:val="0"/>
        <w:kinsoku/>
        <w:wordWrap/>
        <w:overflowPunct/>
        <w:topLinePunct w:val="0"/>
        <w:bidi w:val="0"/>
        <w:snapToGrid w:val="0"/>
        <w:spacing w:line="578"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（1）审判案件；</w:t>
      </w:r>
    </w:p>
    <w:p>
      <w:pPr>
        <w:pageBreakBefore w:val="0"/>
        <w:kinsoku/>
        <w:wordWrap/>
        <w:overflowPunct/>
        <w:topLinePunct w:val="0"/>
        <w:bidi w:val="0"/>
        <w:snapToGrid w:val="0"/>
        <w:spacing w:line="578"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（2）处理不需要开庭审判的民事纠纷和轻微的刑事案件；</w:t>
      </w:r>
    </w:p>
    <w:p>
      <w:pPr>
        <w:pageBreakBefore w:val="0"/>
        <w:kinsoku/>
        <w:wordWrap/>
        <w:overflowPunct/>
        <w:topLinePunct w:val="0"/>
        <w:bidi w:val="0"/>
        <w:snapToGrid w:val="0"/>
        <w:spacing w:line="578"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（3）指导人民调解委员会的工作；</w:t>
      </w:r>
    </w:p>
    <w:p>
      <w:pPr>
        <w:pageBreakBefore w:val="0"/>
        <w:kinsoku/>
        <w:wordWrap/>
        <w:overflowPunct/>
        <w:topLinePunct w:val="0"/>
        <w:bidi w:val="0"/>
        <w:snapToGrid w:val="0"/>
        <w:spacing w:line="578"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（4）普法，即人民法院用它的全部活动教育公民忠于社会主义祖国，自觉地遵守宪法和法律。</w:t>
      </w:r>
    </w:p>
    <w:p>
      <w:pPr>
        <w:pageBreakBefore w:val="0"/>
        <w:kinsoku/>
        <w:wordWrap/>
        <w:overflowPunct/>
        <w:topLinePunct w:val="0"/>
        <w:bidi w:val="0"/>
        <w:snapToGrid w:val="0"/>
        <w:spacing w:line="578" w:lineRule="exact"/>
        <w:ind w:firstLine="640" w:firstLineChars="200"/>
        <w:rPr>
          <w:rFonts w:hint="eastAsia" w:ascii="仿宋" w:hAnsi="仿宋" w:eastAsia="仿宋" w:cs="仿宋_GB2312"/>
          <w:color w:val="000000"/>
          <w:kern w:val="2"/>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 w:hAnsi="仿宋" w:eastAsia="仿宋" w:cs="仿宋_GB2312"/>
          <w:kern w:val="2"/>
          <w:sz w:val="32"/>
          <w:szCs w:val="32"/>
          <w:lang w:val="en-US" w:eastAsia="zh-CN" w:bidi="ar-SA"/>
        </w:rPr>
        <w:t>我院2019年年末实有人员181人，其中：正式干警116人，聘用人员58人，退休人员31人，遗属人员5人，与2018年相比增加29人。</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Style w:val="12"/>
        <w:pageBreakBefore w:val="0"/>
        <w:numPr>
          <w:ilvl w:val="0"/>
          <w:numId w:val="0"/>
        </w:numPr>
        <w:shd w:val="clear" w:color="auto" w:fill="FFFFFF"/>
        <w:kinsoku/>
        <w:wordWrap/>
        <w:overflowPunct/>
        <w:topLinePunct w:val="0"/>
        <w:bidi w:val="0"/>
        <w:spacing w:before="0" w:beforeAutospacing="0" w:after="0" w:afterAutospacing="0" w:line="578" w:lineRule="exact"/>
        <w:ind w:firstLine="960" w:firstLineChars="300"/>
        <w:rPr>
          <w:rFonts w:hint="eastAsia" w:ascii="仿宋" w:hAnsi="仿宋" w:eastAsia="仿宋" w:cs="宋体"/>
          <w:bCs/>
          <w:color w:val="000000"/>
          <w:kern w:val="0"/>
          <w:sz w:val="32"/>
          <w:szCs w:val="32"/>
          <w:lang w:val="en-US" w:eastAsia="zh-CN" w:bidi="ar-SA"/>
        </w:rPr>
      </w:pPr>
      <w:r>
        <w:rPr>
          <w:rFonts w:hint="eastAsia" w:ascii="仿宋" w:hAnsi="仿宋" w:eastAsia="仿宋" w:cs="仿宋_GB2312"/>
          <w:kern w:val="2"/>
          <w:sz w:val="32"/>
          <w:szCs w:val="32"/>
          <w:lang w:val="en-US" w:eastAsia="zh-CN" w:bidi="ar-SA"/>
        </w:rPr>
        <w:t>（一）部门财政资金收入情况。年初预算收入（含政府基金预算收入）3867.32万元，对比2018年的3758.60万元，增加了108.72万元，增幅为2.89%，原因是2019年工资福利支出增加</w:t>
      </w:r>
      <w:r>
        <w:rPr>
          <w:rFonts w:hint="eastAsia" w:ascii="仿宋" w:hAnsi="仿宋" w:eastAsia="仿宋" w:cs="宋体"/>
          <w:bCs/>
          <w:color w:val="000000"/>
          <w:kern w:val="0"/>
          <w:sz w:val="32"/>
          <w:szCs w:val="32"/>
          <w:lang w:val="en-US" w:eastAsia="zh-CN" w:bidi="ar-SA"/>
        </w:rPr>
        <w:t>。</w:t>
      </w:r>
    </w:p>
    <w:p>
      <w:pPr>
        <w:pStyle w:val="12"/>
        <w:pageBreakBefore w:val="0"/>
        <w:numPr>
          <w:ilvl w:val="0"/>
          <w:numId w:val="0"/>
        </w:numPr>
        <w:shd w:val="clear" w:color="auto" w:fill="FFFFFF"/>
        <w:kinsoku/>
        <w:wordWrap/>
        <w:overflowPunct/>
        <w:topLinePunct w:val="0"/>
        <w:bidi w:val="0"/>
        <w:spacing w:before="0" w:beforeAutospacing="0" w:after="0" w:afterAutospacing="0" w:line="578" w:lineRule="exact"/>
        <w:ind w:firstLine="960" w:firstLineChars="3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（二）部门财政资金支出情况。2019年我院支出3784.38万元，对比2018年4315.25万元，减少了530.93万元，减幅12.3%，减少原因为基建项目支出减少。</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pageBreakBefore w:val="0"/>
        <w:widowControl/>
        <w:kinsoku/>
        <w:wordWrap/>
        <w:overflowPunct/>
        <w:topLinePunct w:val="0"/>
        <w:bidi w:val="0"/>
        <w:adjustRightInd w:val="0"/>
        <w:snapToGrid w:val="0"/>
        <w:spacing w:line="578" w:lineRule="exact"/>
        <w:ind w:firstLine="620" w:firstLineChars="200"/>
        <w:contextualSpacing/>
        <w:jc w:val="left"/>
        <w:rPr>
          <w:rFonts w:hint="eastAsia" w:ascii="仿宋" w:hAnsi="仿宋" w:eastAsia="仿宋" w:cs="仿宋"/>
          <w:b w:val="0"/>
          <w:i w:val="0"/>
          <w:caps w:val="0"/>
          <w:color w:val="333333"/>
          <w:spacing w:val="0"/>
          <w:sz w:val="31"/>
          <w:szCs w:val="31"/>
          <w:shd w:val="clear" w:color="auto" w:fill="FFFFFF"/>
        </w:rPr>
      </w:pPr>
      <w:r>
        <w:rPr>
          <w:rFonts w:hint="eastAsia" w:ascii="仿宋" w:hAnsi="仿宋" w:eastAsia="仿宋" w:cs="仿宋"/>
          <w:b w:val="0"/>
          <w:i w:val="0"/>
          <w:caps w:val="0"/>
          <w:color w:val="333333"/>
          <w:spacing w:val="0"/>
          <w:sz w:val="31"/>
          <w:szCs w:val="31"/>
          <w:shd w:val="clear" w:color="auto" w:fill="FFFFFF"/>
          <w:lang w:eastAsia="zh-CN"/>
        </w:rPr>
        <w:t>本单位</w:t>
      </w:r>
      <w:r>
        <w:rPr>
          <w:rFonts w:ascii="仿宋" w:hAnsi="仿宋" w:eastAsia="仿宋" w:cs="仿宋"/>
          <w:b w:val="0"/>
          <w:i w:val="0"/>
          <w:caps w:val="0"/>
          <w:color w:val="333333"/>
          <w:spacing w:val="0"/>
          <w:sz w:val="31"/>
          <w:szCs w:val="31"/>
          <w:shd w:val="clear" w:color="auto" w:fill="FFFFFF"/>
        </w:rPr>
        <w:t>在县委、县政府的坚强领导和其它职能部门的大力支持配合下，</w:t>
      </w:r>
      <w:r>
        <w:rPr>
          <w:rFonts w:hint="eastAsia" w:ascii="仿宋" w:hAnsi="仿宋" w:eastAsia="仿宋" w:cs="仿宋"/>
          <w:b w:val="0"/>
          <w:i w:val="0"/>
          <w:caps w:val="0"/>
          <w:color w:val="333333"/>
          <w:spacing w:val="0"/>
          <w:sz w:val="31"/>
          <w:szCs w:val="31"/>
          <w:shd w:val="clear" w:color="auto" w:fill="FFFFFF"/>
          <w:lang w:eastAsia="zh-CN"/>
        </w:rPr>
        <w:t>我院严格财经纪律，厉行节约，压缩开支，保证了干警合理福利待遇的落实，稳定了干警队伍，提高了干警的工作积极性，坚持司法为民、公正司法工作主线，紧紧围绕“努力让人民群众在每一个司法案件中感受到公平正义”总体目标，扎实推动争创“全国模范法院”，全面提升法院工作水平，有力地保障了审判工作的顺利进行。</w:t>
      </w:r>
      <w:r>
        <w:rPr>
          <w:rFonts w:hint="eastAsia" w:ascii="仿宋" w:hAnsi="仿宋" w:eastAsia="仿宋" w:cs="仿宋"/>
          <w:b w:val="0"/>
          <w:i w:val="0"/>
          <w:caps w:val="0"/>
          <w:color w:val="333333"/>
          <w:spacing w:val="0"/>
          <w:sz w:val="31"/>
          <w:szCs w:val="31"/>
          <w:shd w:val="clear" w:color="auto" w:fill="FFFFFF"/>
        </w:rPr>
        <w:t>按照财务预算，对</w:t>
      </w:r>
      <w:r>
        <w:rPr>
          <w:rFonts w:hint="eastAsia" w:ascii="仿宋" w:hAnsi="仿宋" w:eastAsia="仿宋" w:cs="仿宋"/>
          <w:b w:val="0"/>
          <w:i w:val="0"/>
          <w:caps w:val="0"/>
          <w:color w:val="333333"/>
          <w:spacing w:val="0"/>
          <w:sz w:val="31"/>
          <w:szCs w:val="31"/>
          <w:shd w:val="clear" w:color="auto" w:fill="FFFFFF"/>
          <w:lang w:eastAsia="zh-CN"/>
        </w:rPr>
        <w:t>单位各项重点工作</w:t>
      </w:r>
      <w:r>
        <w:rPr>
          <w:rFonts w:hint="eastAsia" w:ascii="仿宋" w:hAnsi="仿宋" w:eastAsia="仿宋" w:cs="仿宋"/>
          <w:b w:val="0"/>
          <w:i w:val="0"/>
          <w:caps w:val="0"/>
          <w:color w:val="333333"/>
          <w:spacing w:val="0"/>
          <w:sz w:val="31"/>
          <w:szCs w:val="31"/>
          <w:shd w:val="clear" w:color="auto" w:fill="FFFFFF"/>
        </w:rPr>
        <w:t>进行控制，实现财务收支平衡。为进一步加强经费预算管理，提高资金使用效率，促进</w:t>
      </w:r>
      <w:r>
        <w:rPr>
          <w:rFonts w:hint="eastAsia" w:ascii="仿宋" w:hAnsi="仿宋" w:eastAsia="仿宋" w:cs="仿宋"/>
          <w:b w:val="0"/>
          <w:i w:val="0"/>
          <w:caps w:val="0"/>
          <w:color w:val="333333"/>
          <w:spacing w:val="0"/>
          <w:sz w:val="31"/>
          <w:szCs w:val="31"/>
          <w:shd w:val="clear" w:color="auto" w:fill="FFFFFF"/>
          <w:lang w:eastAsia="zh-CN"/>
        </w:rPr>
        <w:t>供销社</w:t>
      </w:r>
      <w:r>
        <w:rPr>
          <w:rFonts w:hint="eastAsia" w:ascii="仿宋" w:hAnsi="仿宋" w:eastAsia="仿宋" w:cs="仿宋"/>
          <w:b w:val="0"/>
          <w:i w:val="0"/>
          <w:caps w:val="0"/>
          <w:color w:val="333333"/>
          <w:spacing w:val="0"/>
          <w:sz w:val="31"/>
          <w:szCs w:val="31"/>
          <w:shd w:val="clear" w:color="auto" w:fill="FFFFFF"/>
        </w:rPr>
        <w:t>业务稳步向前发展，根据本单位年初预算批复，分析本单位上半年预算执行情况，认真编制201</w:t>
      </w:r>
      <w:r>
        <w:rPr>
          <w:rFonts w:hint="eastAsia" w:ascii="仿宋" w:hAnsi="仿宋" w:eastAsia="仿宋" w:cs="仿宋"/>
          <w:b w:val="0"/>
          <w:i w:val="0"/>
          <w:caps w:val="0"/>
          <w:color w:val="333333"/>
          <w:spacing w:val="0"/>
          <w:sz w:val="31"/>
          <w:szCs w:val="31"/>
          <w:shd w:val="clear" w:color="auto" w:fill="FFFFFF"/>
          <w:lang w:val="en-US" w:eastAsia="zh-CN"/>
        </w:rPr>
        <w:t>9</w:t>
      </w:r>
      <w:r>
        <w:rPr>
          <w:rFonts w:hint="eastAsia" w:ascii="仿宋" w:hAnsi="仿宋" w:eastAsia="仿宋" w:cs="仿宋"/>
          <w:b w:val="0"/>
          <w:i w:val="0"/>
          <w:caps w:val="0"/>
          <w:color w:val="333333"/>
          <w:spacing w:val="0"/>
          <w:sz w:val="31"/>
          <w:szCs w:val="31"/>
          <w:shd w:val="clear" w:color="auto" w:fill="FFFFFF"/>
        </w:rPr>
        <w:t>年度预算调整，把新增人员的工资及各项保险纳入预算调整，以保证</w:t>
      </w:r>
      <w:r>
        <w:rPr>
          <w:rFonts w:hint="eastAsia" w:ascii="仿宋" w:hAnsi="仿宋" w:eastAsia="仿宋" w:cs="仿宋"/>
          <w:b w:val="0"/>
          <w:i w:val="0"/>
          <w:caps w:val="0"/>
          <w:color w:val="333333"/>
          <w:spacing w:val="0"/>
          <w:sz w:val="31"/>
          <w:szCs w:val="31"/>
          <w:shd w:val="clear" w:color="auto" w:fill="FFFFFF"/>
          <w:lang w:eastAsia="zh-CN"/>
        </w:rPr>
        <w:t>单位</w:t>
      </w:r>
      <w:r>
        <w:rPr>
          <w:rFonts w:hint="eastAsia" w:ascii="仿宋" w:hAnsi="仿宋" w:eastAsia="仿宋" w:cs="仿宋"/>
          <w:b w:val="0"/>
          <w:i w:val="0"/>
          <w:caps w:val="0"/>
          <w:color w:val="333333"/>
          <w:spacing w:val="0"/>
          <w:sz w:val="31"/>
          <w:szCs w:val="31"/>
          <w:shd w:val="clear" w:color="auto" w:fill="FFFFFF"/>
        </w:rPr>
        <w:t>的正常运转。</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pageBreakBefore w:val="0"/>
        <w:widowControl/>
        <w:kinsoku/>
        <w:wordWrap/>
        <w:overflowPunct/>
        <w:topLinePunct w:val="0"/>
        <w:bidi w:val="0"/>
        <w:adjustRightInd w:val="0"/>
        <w:snapToGrid w:val="0"/>
        <w:spacing w:line="578" w:lineRule="exact"/>
        <w:ind w:firstLine="620" w:firstLineChars="200"/>
        <w:contextualSpacing/>
        <w:jc w:val="left"/>
        <w:rPr>
          <w:rFonts w:ascii="仿宋" w:hAnsi="仿宋" w:eastAsia="仿宋" w:cs="仿宋"/>
          <w:i w:val="0"/>
          <w:caps w:val="0"/>
          <w:color w:val="333333"/>
          <w:spacing w:val="0"/>
          <w:sz w:val="31"/>
          <w:szCs w:val="31"/>
          <w:shd w:val="clear" w:color="auto" w:fill="FFFFFF"/>
        </w:rPr>
      </w:pPr>
      <w:r>
        <w:rPr>
          <w:rFonts w:ascii="仿宋" w:hAnsi="仿宋" w:eastAsia="仿宋" w:cs="仿宋"/>
          <w:i w:val="0"/>
          <w:caps w:val="0"/>
          <w:color w:val="333333"/>
          <w:spacing w:val="0"/>
          <w:sz w:val="31"/>
          <w:szCs w:val="31"/>
          <w:shd w:val="clear" w:color="auto" w:fill="FFFFFF"/>
        </w:rPr>
        <w:t>将对本单位整体支出绩效目标评价结果在</w:t>
      </w:r>
      <w:r>
        <w:rPr>
          <w:rFonts w:hint="eastAsia" w:ascii="仿宋" w:hAnsi="仿宋" w:eastAsia="仿宋" w:cs="仿宋"/>
          <w:i w:val="0"/>
          <w:caps w:val="0"/>
          <w:color w:val="333333"/>
          <w:spacing w:val="0"/>
          <w:sz w:val="31"/>
          <w:szCs w:val="31"/>
          <w:shd w:val="clear" w:color="auto" w:fill="FFFFFF"/>
          <w:lang w:eastAsia="zh-CN"/>
        </w:rPr>
        <w:t>单位政务信息网</w:t>
      </w:r>
      <w:r>
        <w:rPr>
          <w:rFonts w:ascii="仿宋" w:hAnsi="仿宋" w:eastAsia="仿宋" w:cs="仿宋"/>
          <w:i w:val="0"/>
          <w:caps w:val="0"/>
          <w:color w:val="333333"/>
          <w:spacing w:val="0"/>
          <w:sz w:val="31"/>
          <w:szCs w:val="31"/>
          <w:shd w:val="clear" w:color="auto" w:fill="FFFFFF"/>
        </w:rPr>
        <w:t>进行公开，对反馈结果有效整改，强化资金管理水平、增强资金绩效理念、合理配置公共资源、提高资金使用效益，并将本年绩效目标评价结果作为以后年度资金分配的重要依据。</w:t>
      </w:r>
    </w:p>
    <w:p>
      <w:pPr>
        <w:pageBreakBefore w:val="0"/>
        <w:widowControl/>
        <w:kinsoku/>
        <w:wordWrap/>
        <w:overflowPunct/>
        <w:topLinePunct w:val="0"/>
        <w:bidi w:val="0"/>
        <w:adjustRightInd w:val="0"/>
        <w:snapToGrid w:val="0"/>
        <w:spacing w:line="578"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8" w:lineRule="exact"/>
        <w:ind w:firstLine="640" w:firstLineChars="200"/>
        <w:contextualSpacing/>
        <w:jc w:val="left"/>
        <w:rPr>
          <w:rFonts w:hint="eastAsia" w:ascii="仿宋" w:hAnsi="仿宋" w:eastAsia="仿宋" w:cs="仿宋"/>
          <w:b w:val="0"/>
          <w:i w:val="0"/>
          <w:caps w:val="0"/>
          <w:color w:val="333333"/>
          <w:spacing w:val="0"/>
          <w:sz w:val="31"/>
          <w:szCs w:val="31"/>
          <w:shd w:val="clear" w:color="auto" w:fill="FFFFFF"/>
        </w:rPr>
      </w:pPr>
      <w:r>
        <w:rPr>
          <w:rFonts w:hint="eastAsia" w:ascii="仿宋_GB2312" w:hAnsi="宋体" w:eastAsia="仿宋_GB2312" w:cs="宋体"/>
          <w:color w:val="000000"/>
          <w:kern w:val="0"/>
          <w:sz w:val="32"/>
          <w:szCs w:val="32"/>
          <w:shd w:val="clear" w:color="auto" w:fill="FFFFFF"/>
          <w:lang w:val="zh-CN"/>
        </w:rPr>
        <w:t>（一）评价结论。</w:t>
      </w:r>
      <w:r>
        <w:rPr>
          <w:rFonts w:ascii="仿宋" w:hAnsi="仿宋" w:eastAsia="仿宋" w:cs="仿宋"/>
          <w:b w:val="0"/>
          <w:i w:val="0"/>
          <w:caps w:val="0"/>
          <w:color w:val="333333"/>
          <w:spacing w:val="0"/>
          <w:sz w:val="31"/>
          <w:szCs w:val="31"/>
          <w:shd w:val="clear" w:color="auto" w:fill="FFFFFF"/>
        </w:rPr>
        <w:t>从总体上看，该项目规划科学、决策依据充分、资金到位及时、项目管理规范，达到了预期项目支</w:t>
      </w:r>
      <w:r>
        <w:rPr>
          <w:rFonts w:hint="eastAsia" w:ascii="仿宋" w:hAnsi="仿宋" w:eastAsia="仿宋" w:cs="仿宋"/>
          <w:b w:val="0"/>
          <w:i w:val="0"/>
          <w:caps w:val="0"/>
          <w:color w:val="333333"/>
          <w:spacing w:val="0"/>
          <w:sz w:val="31"/>
          <w:szCs w:val="31"/>
          <w:shd w:val="clear" w:color="auto" w:fill="FFFFFF"/>
        </w:rPr>
        <w:t>出绩效评价效果。</w:t>
      </w:r>
    </w:p>
    <w:p>
      <w:pPr>
        <w:pageBreakBefore w:val="0"/>
        <w:widowControl/>
        <w:kinsoku/>
        <w:wordWrap/>
        <w:overflowPunct/>
        <w:topLinePunct w:val="0"/>
        <w:bidi w:val="0"/>
        <w:adjustRightInd w:val="0"/>
        <w:snapToGrid w:val="0"/>
        <w:spacing w:line="578" w:lineRule="exact"/>
        <w:ind w:firstLine="620" w:firstLineChars="200"/>
        <w:contextualSpacing/>
        <w:jc w:val="left"/>
        <w:rPr>
          <w:rFonts w:hint="eastAsia" w:ascii="仿宋" w:hAnsi="仿宋" w:eastAsia="仿宋" w:cs="仿宋"/>
          <w:b w:val="0"/>
          <w:i w:val="0"/>
          <w:caps w:val="0"/>
          <w:color w:val="333333"/>
          <w:spacing w:val="0"/>
          <w:sz w:val="31"/>
          <w:szCs w:val="31"/>
          <w:shd w:val="clear" w:color="auto" w:fill="FFFFFF"/>
          <w:lang w:val="zh-CN"/>
        </w:rPr>
      </w:pPr>
      <w:r>
        <w:rPr>
          <w:rFonts w:hint="eastAsia" w:ascii="仿宋" w:hAnsi="仿宋" w:eastAsia="仿宋" w:cs="仿宋"/>
          <w:b w:val="0"/>
          <w:i w:val="0"/>
          <w:caps w:val="0"/>
          <w:color w:val="333333"/>
          <w:spacing w:val="0"/>
          <w:sz w:val="31"/>
          <w:szCs w:val="31"/>
          <w:shd w:val="clear" w:color="auto" w:fill="FFFFFF"/>
          <w:lang w:val="zh-CN"/>
        </w:rPr>
        <w:t>（二）存在问题。</w:t>
      </w:r>
      <w:r>
        <w:rPr>
          <w:rFonts w:hint="eastAsia" w:ascii="仿宋" w:hAnsi="仿宋" w:eastAsia="仿宋" w:cs="仿宋"/>
          <w:b w:val="0"/>
          <w:i w:val="0"/>
          <w:caps w:val="0"/>
          <w:color w:val="333333"/>
          <w:spacing w:val="0"/>
          <w:sz w:val="31"/>
          <w:szCs w:val="31"/>
          <w:shd w:val="clear" w:color="auto" w:fill="FFFFFF"/>
        </w:rPr>
        <w:t>绩效评价方法应用不准确。绩效评价方法依靠直观的、量化的、有形的数据进行分析，该方法对经济性、效益性指标有效性较高，对效益性指标评价结果较低。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300" w:afterAutospacing="0" w:line="578" w:lineRule="exact"/>
        <w:ind w:left="0" w:right="0" w:firstLine="645"/>
        <w:jc w:val="left"/>
        <w:rPr>
          <w:rFonts w:hint="eastAsia" w:ascii="宋体" w:hAnsi="宋体" w:eastAsia="宋体" w:cs="宋体"/>
          <w:i w:val="0"/>
          <w:caps w:val="0"/>
          <w:color w:val="333333"/>
          <w:spacing w:val="0"/>
          <w:sz w:val="24"/>
          <w:szCs w:val="24"/>
        </w:rPr>
      </w:pPr>
      <w:r>
        <w:rPr>
          <w:rFonts w:hint="eastAsia" w:ascii="仿宋" w:hAnsi="仿宋" w:eastAsia="仿宋" w:cs="仿宋"/>
          <w:b w:val="0"/>
          <w:i w:val="0"/>
          <w:caps w:val="0"/>
          <w:color w:val="333333"/>
          <w:spacing w:val="0"/>
          <w:sz w:val="31"/>
          <w:szCs w:val="31"/>
          <w:shd w:val="clear" w:color="auto" w:fill="FFFFFF"/>
          <w:lang w:val="zh-CN"/>
        </w:rPr>
        <w:t>（三）改进建议。</w:t>
      </w:r>
      <w:r>
        <w:rPr>
          <w:rFonts w:hint="eastAsia" w:ascii="仿宋" w:hAnsi="仿宋" w:eastAsia="仿宋" w:cs="仿宋"/>
          <w:b w:val="0"/>
          <w:i w:val="0"/>
          <w:caps w:val="0"/>
          <w:color w:val="333333"/>
          <w:spacing w:val="0"/>
          <w:sz w:val="31"/>
          <w:szCs w:val="31"/>
          <w:shd w:val="clear" w:color="auto" w:fill="FFFFFF"/>
        </w:rPr>
        <w:t>对于同一项目的评价依据指标性质采用不同的方法，采用科学的评价方法，更加准确地得出评价结果。</w:t>
      </w:r>
    </w:p>
    <w:p>
      <w:pPr>
        <w:pageBreakBefore w:val="0"/>
        <w:widowControl/>
        <w:kinsoku/>
        <w:wordWrap/>
        <w:overflowPunct/>
        <w:topLinePunct w:val="0"/>
        <w:bidi w:val="0"/>
        <w:adjustRightInd w:val="0"/>
        <w:snapToGrid w:val="0"/>
        <w:spacing w:line="578" w:lineRule="exact"/>
        <w:ind w:firstLine="620" w:firstLineChars="200"/>
        <w:contextualSpacing/>
        <w:jc w:val="left"/>
        <w:rPr>
          <w:rFonts w:hint="eastAsia" w:ascii="仿宋" w:hAnsi="仿宋" w:eastAsia="仿宋" w:cs="仿宋"/>
          <w:b w:val="0"/>
          <w:i w:val="0"/>
          <w:caps w:val="0"/>
          <w:color w:val="333333"/>
          <w:spacing w:val="0"/>
          <w:sz w:val="31"/>
          <w:szCs w:val="31"/>
          <w:shd w:val="clear" w:color="auto" w:fill="FFFFFF"/>
          <w:lang w:val="zh-CN"/>
        </w:rPr>
      </w:pPr>
    </w:p>
    <w:p>
      <w:pPr>
        <w:pageBreakBefore w:val="0"/>
        <w:kinsoku/>
        <w:wordWrap/>
        <w:overflowPunct/>
        <w:topLinePunct w:val="0"/>
        <w:bidi w:val="0"/>
        <w:spacing w:line="578"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78"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78" w:lineRule="exact"/>
        <w:rPr>
          <w:rFonts w:hint="eastAsia" w:ascii="黑体" w:hAnsi="黑体" w:eastAsia="黑体" w:cs="黑体"/>
          <w:sz w:val="32"/>
          <w:szCs w:val="32"/>
        </w:rPr>
      </w:pPr>
    </w:p>
    <w:p>
      <w:pPr>
        <w:pageBreakBefore w:val="0"/>
        <w:kinsoku/>
        <w:wordWrap/>
        <w:overflowPunct/>
        <w:topLinePunct w:val="0"/>
        <w:bidi w:val="0"/>
        <w:spacing w:line="578" w:lineRule="exact"/>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Style w:val="25"/>
          <w:rFonts w:ascii="黑体" w:hAnsi="黑体" w:eastAsia="黑体"/>
          <w:b w:val="0"/>
        </w:rPr>
      </w:pPr>
    </w:p>
    <w:p>
      <w:pPr>
        <w:pageBreakBefore w:val="0"/>
        <w:kinsoku/>
        <w:wordWrap/>
        <w:overflowPunct/>
        <w:topLinePunct w:val="0"/>
        <w:bidi w:val="0"/>
        <w:spacing w:line="578" w:lineRule="exact"/>
        <w:jc w:val="center"/>
        <w:outlineLvl w:val="0"/>
        <w:rPr>
          <w:rFonts w:hint="eastAsia" w:ascii="黑体" w:hAnsi="黑体" w:eastAsia="黑体"/>
          <w:color w:val="000000"/>
          <w:sz w:val="44"/>
          <w:szCs w:val="44"/>
        </w:rPr>
      </w:pPr>
      <w:bookmarkStart w:id="59" w:name="_Toc15396618"/>
    </w:p>
    <w:p>
      <w:pPr>
        <w:pageBreakBefore w:val="0"/>
        <w:kinsoku/>
        <w:wordWrap/>
        <w:overflowPunct/>
        <w:topLinePunct w:val="0"/>
        <w:bidi w:val="0"/>
        <w:spacing w:line="578"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pPr>
        <w:pageBreakBefore w:val="0"/>
        <w:kinsoku/>
        <w:wordWrap/>
        <w:overflowPunct/>
        <w:topLinePunct w:val="0"/>
        <w:bidi w:val="0"/>
        <w:spacing w:line="578" w:lineRule="exact"/>
        <w:jc w:val="center"/>
        <w:outlineLvl w:val="0"/>
        <w:rPr>
          <w:rFonts w:ascii="仿宋" w:hAnsi="仿宋" w:eastAsia="仿宋"/>
          <w:b/>
          <w:color w:val="000000"/>
          <w:sz w:val="44"/>
          <w:szCs w:val="44"/>
        </w:rPr>
      </w:pPr>
    </w:p>
    <w:p>
      <w:pPr>
        <w:pStyle w:val="4"/>
        <w:pageBreakBefore w:val="0"/>
        <w:kinsoku/>
        <w:wordWrap/>
        <w:overflowPunct/>
        <w:topLinePunct w:val="0"/>
        <w:bidi w:val="0"/>
        <w:spacing w:line="578" w:lineRule="exact"/>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pageBreakBefore w:val="0"/>
        <w:kinsoku/>
        <w:wordWrap/>
        <w:overflowPunct/>
        <w:topLinePunct w:val="0"/>
        <w:bidi w:val="0"/>
        <w:spacing w:line="578" w:lineRule="exact"/>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pageBreakBefore w:val="0"/>
        <w:kinsoku/>
        <w:wordWrap/>
        <w:overflowPunct/>
        <w:topLinePunct w:val="0"/>
        <w:bidi w:val="0"/>
        <w:spacing w:line="578" w:lineRule="exact"/>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pageBreakBefore w:val="0"/>
        <w:kinsoku/>
        <w:wordWrap/>
        <w:overflowPunct/>
        <w:topLinePunct w:val="0"/>
        <w:bidi w:val="0"/>
        <w:spacing w:line="578" w:lineRule="exact"/>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pageBreakBefore w:val="0"/>
        <w:kinsoku/>
        <w:wordWrap/>
        <w:overflowPunct/>
        <w:topLinePunct w:val="0"/>
        <w:bidi w:val="0"/>
        <w:spacing w:line="578" w:lineRule="exact"/>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pageBreakBefore w:val="0"/>
        <w:kinsoku/>
        <w:wordWrap/>
        <w:overflowPunct/>
        <w:topLinePunct w:val="0"/>
        <w:bidi w:val="0"/>
        <w:spacing w:line="578" w:lineRule="exact"/>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pageBreakBefore w:val="0"/>
        <w:kinsoku/>
        <w:wordWrap/>
        <w:overflowPunct/>
        <w:topLinePunct w:val="0"/>
        <w:bidi w:val="0"/>
        <w:spacing w:line="578" w:lineRule="exact"/>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pageBreakBefore w:val="0"/>
        <w:kinsoku/>
        <w:wordWrap/>
        <w:overflowPunct/>
        <w:topLinePunct w:val="0"/>
        <w:bidi w:val="0"/>
        <w:spacing w:line="578" w:lineRule="exact"/>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pageBreakBefore w:val="0"/>
        <w:kinsoku/>
        <w:wordWrap/>
        <w:overflowPunct/>
        <w:topLinePunct w:val="0"/>
        <w:bidi w:val="0"/>
        <w:spacing w:line="578" w:lineRule="exact"/>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pageBreakBefore w:val="0"/>
        <w:kinsoku/>
        <w:wordWrap/>
        <w:overflowPunct/>
        <w:topLinePunct w:val="0"/>
        <w:bidi w:val="0"/>
        <w:spacing w:line="578" w:lineRule="exact"/>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pageBreakBefore w:val="0"/>
        <w:kinsoku/>
        <w:wordWrap/>
        <w:overflowPunct/>
        <w:topLinePunct w:val="0"/>
        <w:bidi w:val="0"/>
        <w:spacing w:line="578" w:lineRule="exact"/>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pageBreakBefore w:val="0"/>
        <w:kinsoku/>
        <w:wordWrap/>
        <w:overflowPunct/>
        <w:topLinePunct w:val="0"/>
        <w:bidi w:val="0"/>
        <w:spacing w:line="578" w:lineRule="exact"/>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pageBreakBefore w:val="0"/>
        <w:kinsoku/>
        <w:wordWrap/>
        <w:overflowPunct/>
        <w:topLinePunct w:val="0"/>
        <w:bidi w:val="0"/>
        <w:spacing w:line="578" w:lineRule="exact"/>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5EE13"/>
    <w:multiLevelType w:val="singleLevel"/>
    <w:tmpl w:val="9585EE13"/>
    <w:lvl w:ilvl="0" w:tentative="0">
      <w:start w:val="2"/>
      <w:numFmt w:val="chineseCounting"/>
      <w:suff w:val="nothing"/>
      <w:lvlText w:val="%1、"/>
      <w:lvlJc w:val="left"/>
      <w:rPr>
        <w:rFonts w:hint="eastAsia"/>
      </w:rPr>
    </w:lvl>
  </w:abstractNum>
  <w:abstractNum w:abstractNumId="1">
    <w:nsid w:val="9B5416A8"/>
    <w:multiLevelType w:val="singleLevel"/>
    <w:tmpl w:val="9B5416A8"/>
    <w:lvl w:ilvl="0" w:tentative="0">
      <w:start w:val="2"/>
      <w:numFmt w:val="chineseCounting"/>
      <w:suff w:val="nothing"/>
      <w:lvlText w:val="（%1）"/>
      <w:lvlJc w:val="left"/>
      <w:rPr>
        <w:rFonts w:hint="eastAsia"/>
      </w:rPr>
    </w:lvl>
  </w:abstractNum>
  <w:abstractNum w:abstractNumId="2">
    <w:nsid w:val="B6C3B66E"/>
    <w:multiLevelType w:val="singleLevel"/>
    <w:tmpl w:val="B6C3B66E"/>
    <w:lvl w:ilvl="0" w:tentative="0">
      <w:start w:val="1"/>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730BB"/>
    <w:rsid w:val="062C179E"/>
    <w:rsid w:val="0E862995"/>
    <w:rsid w:val="10414FEB"/>
    <w:rsid w:val="10C055FF"/>
    <w:rsid w:val="1509610D"/>
    <w:rsid w:val="16BB723D"/>
    <w:rsid w:val="17112CEB"/>
    <w:rsid w:val="18534300"/>
    <w:rsid w:val="19E81DCB"/>
    <w:rsid w:val="1D9B4B15"/>
    <w:rsid w:val="1DED256F"/>
    <w:rsid w:val="1F374BEF"/>
    <w:rsid w:val="20E962B2"/>
    <w:rsid w:val="240371BF"/>
    <w:rsid w:val="272B3F0C"/>
    <w:rsid w:val="275328FC"/>
    <w:rsid w:val="27BE126A"/>
    <w:rsid w:val="29FD04D3"/>
    <w:rsid w:val="2AC307C7"/>
    <w:rsid w:val="2D206A7E"/>
    <w:rsid w:val="319F7F4E"/>
    <w:rsid w:val="35587B84"/>
    <w:rsid w:val="35D218BF"/>
    <w:rsid w:val="35F14900"/>
    <w:rsid w:val="374E7DE3"/>
    <w:rsid w:val="383C51B6"/>
    <w:rsid w:val="386175D0"/>
    <w:rsid w:val="39064E89"/>
    <w:rsid w:val="3EB03E23"/>
    <w:rsid w:val="44174126"/>
    <w:rsid w:val="441A57E2"/>
    <w:rsid w:val="459D1789"/>
    <w:rsid w:val="478649F3"/>
    <w:rsid w:val="47AC1DDF"/>
    <w:rsid w:val="4A4B1D7C"/>
    <w:rsid w:val="4B3371A2"/>
    <w:rsid w:val="4B8F1283"/>
    <w:rsid w:val="4BBD4742"/>
    <w:rsid w:val="4CED56EB"/>
    <w:rsid w:val="4D0A5E1F"/>
    <w:rsid w:val="4D932EF3"/>
    <w:rsid w:val="4EB776D3"/>
    <w:rsid w:val="4ECE2238"/>
    <w:rsid w:val="51250FC1"/>
    <w:rsid w:val="51F779DD"/>
    <w:rsid w:val="52663636"/>
    <w:rsid w:val="56426113"/>
    <w:rsid w:val="56AC210A"/>
    <w:rsid w:val="58826233"/>
    <w:rsid w:val="5B7B5114"/>
    <w:rsid w:val="5D354BBA"/>
    <w:rsid w:val="5D52394A"/>
    <w:rsid w:val="5F0B3D79"/>
    <w:rsid w:val="611F53AC"/>
    <w:rsid w:val="62377AF0"/>
    <w:rsid w:val="627A6415"/>
    <w:rsid w:val="637D65B3"/>
    <w:rsid w:val="63AB63AE"/>
    <w:rsid w:val="640C53FE"/>
    <w:rsid w:val="67876526"/>
    <w:rsid w:val="681826C1"/>
    <w:rsid w:val="68C3341D"/>
    <w:rsid w:val="6F5B199D"/>
    <w:rsid w:val="72734D90"/>
    <w:rsid w:val="75700BF6"/>
    <w:rsid w:val="76F914AB"/>
    <w:rsid w:val="77EE4477"/>
    <w:rsid w:val="7CCA2E05"/>
    <w:rsid w:val="7EDD72A3"/>
    <w:rsid w:val="7FF750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83525535420099"/>
          <c:y val="0.0136116152450091"/>
        </c:manualLayout>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决算收入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2018年</c:v>
                </c:pt>
                <c:pt idx="1">
                  <c:v>2019年</c:v>
                </c:pt>
              </c:strCache>
            </c:strRef>
          </c:cat>
          <c:val>
            <c:numRef>
              <c:f>Sheet1!$B$2:$B$3</c:f>
              <c:numCache>
                <c:formatCode>#,##0.00</c:formatCode>
                <c:ptCount val="2"/>
                <c:pt idx="0">
                  <c:v>3758.6</c:v>
                </c:pt>
                <c:pt idx="1">
                  <c:v>3867.32</c:v>
                </c:pt>
              </c:numCache>
            </c:numRef>
          </c:val>
        </c:ser>
        <c:ser>
          <c:idx val="1"/>
          <c:order val="1"/>
          <c:tx>
            <c:strRef>
              <c:f>Sheet1!$C$1</c:f>
              <c:strCache>
                <c:ptCount val="1"/>
                <c:pt idx="0">
                  <c:v>决算支出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4315.25</c:v>
                </c:pt>
                <c:pt idx="1">
                  <c:v>3784.38</c:v>
                </c:pt>
              </c:numCache>
            </c:numRef>
          </c:val>
        </c:ser>
        <c:dLbls>
          <c:showLegendKey val="0"/>
          <c:showVal val="1"/>
          <c:showCatName val="0"/>
          <c:showSerName val="0"/>
          <c:showPercent val="0"/>
          <c:showBubbleSize val="0"/>
        </c:dLbls>
        <c:gapWidth val="219"/>
        <c:overlap val="-27"/>
        <c:axId val="511115573"/>
        <c:axId val="262358189"/>
      </c:barChart>
      <c:catAx>
        <c:axId val="51111557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358189"/>
        <c:crosses val="autoZero"/>
        <c:auto val="1"/>
        <c:lblAlgn val="ctr"/>
        <c:lblOffset val="100"/>
        <c:noMultiLvlLbl val="0"/>
      </c:catAx>
      <c:valAx>
        <c:axId val="26235818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1155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2018年</c:v>
                </c:pt>
                <c:pt idx="1">
                  <c:v>2019年</c:v>
                </c:pt>
              </c:strCache>
            </c:strRef>
          </c:cat>
          <c:val>
            <c:numRef>
              <c:f>Sheet1!$B$2:$B$3</c:f>
              <c:numCache>
                <c:formatCode>#,##0.00</c:formatCode>
                <c:ptCount val="2"/>
                <c:pt idx="0">
                  <c:v>3758.6</c:v>
                </c:pt>
                <c:pt idx="1">
                  <c:v>3867.32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4315.25</c:v>
                </c:pt>
                <c:pt idx="1">
                  <c:v>3784.38</c:v>
                </c:pt>
              </c:numCache>
            </c:numRef>
          </c:val>
        </c:ser>
        <c:dLbls>
          <c:showLegendKey val="0"/>
          <c:showVal val="1"/>
          <c:showCatName val="0"/>
          <c:showSerName val="0"/>
          <c:showPercent val="0"/>
          <c:showBubbleSize val="0"/>
        </c:dLbls>
        <c:gapWidth val="219"/>
        <c:overlap val="-27"/>
        <c:axId val="511115573"/>
        <c:axId val="262358189"/>
      </c:barChart>
      <c:catAx>
        <c:axId val="51111557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358189"/>
        <c:crosses val="autoZero"/>
        <c:auto val="1"/>
        <c:lblAlgn val="ctr"/>
        <c:lblOffset val="100"/>
        <c:noMultiLvlLbl val="0"/>
      </c:catAx>
      <c:valAx>
        <c:axId val="26235818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1155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6382780082988"/>
          <c:y val="0.0359265960196433"/>
          <c:w val="0.905175"/>
          <c:h val="0.882733333333333"/>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2018</c:v>
                </c:pt>
                <c:pt idx="1">
                  <c:v>2019</c:v>
                </c:pt>
              </c:numCache>
            </c:numRef>
          </c:cat>
          <c:val>
            <c:numRef>
              <c:f>Sheet1!$B$2:$B$3</c:f>
              <c:numCache>
                <c:formatCode>General</c:formatCode>
                <c:ptCount val="2"/>
                <c:pt idx="0">
                  <c:v>4315.25</c:v>
                </c:pt>
                <c:pt idx="1">
                  <c:v>3573.19</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numRef>
              <c:f>Sheet1!$A$2:$A$3</c:f>
              <c:numCache>
                <c:formatCode>General</c:formatCode>
                <c:ptCount val="2"/>
                <c:pt idx="0">
                  <c:v>2018</c:v>
                </c:pt>
                <c:pt idx="1">
                  <c:v>2019</c:v>
                </c:pt>
              </c:numCache>
            </c:numRef>
          </c:cat>
          <c:val>
            <c:numRef>
              <c:f>Sheet1!$C$2:$C$3</c:f>
              <c:numCache>
                <c:formatCode>General</c:formatCode>
                <c:ptCount val="2"/>
                <c:pt idx="0">
                  <c:v>0</c:v>
                </c:pt>
                <c:pt idx="1">
                  <c:v>0</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numRef>
              <c:f>Sheet1!$A$2:$A$3</c:f>
              <c:numCache>
                <c:formatCode>General</c:formatCode>
                <c:ptCount val="2"/>
                <c:pt idx="0">
                  <c:v>2018</c:v>
                </c:pt>
                <c:pt idx="1">
                  <c:v>2019</c:v>
                </c:pt>
              </c:numCache>
            </c:numRef>
          </c:cat>
          <c:val>
            <c:numRef>
              <c:f>Sheet1!$D$2:$D$3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661487043"/>
        <c:axId val="613533384"/>
      </c:barChart>
      <c:catAx>
        <c:axId val="661487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533384"/>
        <c:crosses val="autoZero"/>
        <c:auto val="1"/>
        <c:lblAlgn val="ctr"/>
        <c:lblOffset val="100"/>
        <c:noMultiLvlLbl val="0"/>
      </c:catAx>
      <c:valAx>
        <c:axId val="613533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4870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9661637365455"/>
          <c:y val="0.0564634390370393"/>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c:v>
                </c:pt>
                <c:pt idx="2">
                  <c:v>卫生健康支出</c:v>
                </c:pt>
                <c:pt idx="3">
                  <c:v>住房保障</c:v>
                </c:pt>
              </c:strCache>
            </c:strRef>
          </c:cat>
          <c:val>
            <c:numRef>
              <c:f>Sheet1!$B$2:$B$5</c:f>
              <c:numCache>
                <c:formatCode>General</c:formatCode>
                <c:ptCount val="4"/>
                <c:pt idx="0">
                  <c:v>3245.98</c:v>
                </c:pt>
                <c:pt idx="1">
                  <c:v>160.7</c:v>
                </c:pt>
                <c:pt idx="2">
                  <c:v>71.95</c:v>
                </c:pt>
                <c:pt idx="3">
                  <c:v>82.33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291612903225806"/>
          <c:y val="0.7167534960241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c:v>
                </c:pt>
                <c:pt idx="1">
                  <c:v>公务用车购置及运行维护费</c:v>
                </c:pt>
                <c:pt idx="2">
                  <c:v>公务接待</c:v>
                </c:pt>
              </c:strCache>
            </c:strRef>
          </c:cat>
          <c:val>
            <c:numRef>
              <c:f>Sheet1!$B$2:$B$4</c:f>
              <c:numCache>
                <c:formatCode>General</c:formatCode>
                <c:ptCount val="3"/>
                <c:pt idx="0">
                  <c:v>0</c:v>
                </c:pt>
                <c:pt idx="1">
                  <c:v>139.24</c:v>
                </c:pt>
                <c:pt idx="2">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27</TotalTime>
  <ScaleCrop>false</ScaleCrop>
  <LinksUpToDate>false</LinksUpToDate>
  <CharactersWithSpaces>8536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2020-10-19T10:30:00Z</cp:lastPrinted>
  <dcterms:modified xsi:type="dcterms:W3CDTF">2021-06-01T08:46:07Z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9E74EE5066A240FE856217685588B173</vt:lpwstr>
  </property>
</Properties>
</file>